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8EA6" w14:textId="55B2123B" w:rsidR="00930287" w:rsidRPr="000B1BF6" w:rsidRDefault="00930287" w:rsidP="00CE697D">
      <w:pPr>
        <w:jc w:val="center"/>
        <w:rPr>
          <w:sz w:val="48"/>
          <w:szCs w:val="28"/>
        </w:rPr>
      </w:pPr>
      <w:bookmarkStart w:id="0" w:name="_Toc487121524"/>
    </w:p>
    <w:p w14:paraId="45628D5B" w14:textId="77777777" w:rsidR="00930287" w:rsidRDefault="00930287" w:rsidP="00CE697D">
      <w:pPr>
        <w:jc w:val="center"/>
        <w:rPr>
          <w:b/>
          <w:sz w:val="48"/>
          <w:szCs w:val="28"/>
        </w:rPr>
      </w:pPr>
    </w:p>
    <w:p w14:paraId="3264FAC4" w14:textId="77777777" w:rsidR="00C358AA" w:rsidRDefault="00C358AA" w:rsidP="000B1BF6">
      <w:pPr>
        <w:rPr>
          <w:b/>
          <w:sz w:val="48"/>
          <w:szCs w:val="28"/>
        </w:rPr>
      </w:pPr>
    </w:p>
    <w:p w14:paraId="34BE8778" w14:textId="66F50FFC" w:rsidR="00CE697D" w:rsidRPr="00A315C6" w:rsidRDefault="00CE697D" w:rsidP="00CE697D">
      <w:pPr>
        <w:jc w:val="center"/>
        <w:rPr>
          <w:b/>
          <w:sz w:val="48"/>
          <w:szCs w:val="28"/>
        </w:rPr>
      </w:pPr>
      <w:r w:rsidRPr="00A315C6">
        <w:rPr>
          <w:b/>
          <w:sz w:val="48"/>
          <w:szCs w:val="28"/>
        </w:rPr>
        <w:t>Markedspraksis for afvikling af tredjemandshandler via T2S og VP (anvendelse af derogationsreglen) efter 29. oktober 2018</w:t>
      </w:r>
      <w:bookmarkEnd w:id="0"/>
    </w:p>
    <w:p w14:paraId="3B6BF528" w14:textId="532000B6" w:rsidR="009A1083" w:rsidRDefault="00CE697D" w:rsidP="00CE697D">
      <w:pPr>
        <w:pStyle w:val="Overskrift1"/>
      </w:pPr>
      <w:r>
        <w:t xml:space="preserve"> </w:t>
      </w:r>
    </w:p>
    <w:p w14:paraId="37A8E0B7" w14:textId="77777777" w:rsidR="00A527B7" w:rsidRDefault="00A527B7" w:rsidP="00A527B7"/>
    <w:p w14:paraId="51FD45FC" w14:textId="77777777" w:rsidR="00CE697D" w:rsidRDefault="00CE697D">
      <w:pPr>
        <w:tabs>
          <w:tab w:val="clear" w:pos="284"/>
        </w:tabs>
        <w:spacing w:line="240" w:lineRule="auto"/>
      </w:pPr>
      <w:bookmarkStart w:id="1" w:name="TR_START"/>
      <w:bookmarkEnd w:id="1"/>
      <w:r>
        <w:br w:type="page"/>
      </w:r>
    </w:p>
    <w:p w14:paraId="32BD5F0D" w14:textId="77777777" w:rsidR="00A32C77" w:rsidRPr="00A315C6" w:rsidRDefault="00A32C77" w:rsidP="00A32C77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ja-JP"/>
        </w:rPr>
      </w:pPr>
      <w:proofErr w:type="spellStart"/>
      <w:r w:rsidRPr="00A315C6">
        <w:rPr>
          <w:rFonts w:asciiTheme="majorHAnsi" w:eastAsiaTheme="majorEastAsia" w:hAnsiTheme="majorHAnsi" w:cstheme="majorBidi"/>
          <w:b/>
          <w:bCs/>
          <w:sz w:val="28"/>
          <w:szCs w:val="28"/>
          <w:lang w:val="en-US" w:eastAsia="ja-JP"/>
        </w:rPr>
        <w:lastRenderedPageBreak/>
        <w:t>Indholdsfortegnelse</w:t>
      </w:r>
      <w:proofErr w:type="spellEnd"/>
    </w:p>
    <w:p w14:paraId="25F44260" w14:textId="77777777" w:rsidR="00A32C77" w:rsidRDefault="00A32C77" w:rsidP="00A32C77">
      <w:pPr>
        <w:rPr>
          <w:rFonts w:asciiTheme="majorHAnsi" w:eastAsiaTheme="majorEastAsia" w:hAnsiTheme="majorHAnsi" w:cstheme="majorBidi"/>
          <w:b/>
          <w:bCs/>
          <w:color w:val="AA0020" w:themeColor="accent1" w:themeShade="BF"/>
          <w:sz w:val="28"/>
          <w:szCs w:val="28"/>
          <w:lang w:val="en-US" w:eastAsia="ja-JP"/>
        </w:rPr>
      </w:pPr>
      <w:bookmarkStart w:id="2" w:name="_GoBack"/>
      <w:bookmarkEnd w:id="2"/>
    </w:p>
    <w:p w14:paraId="5D5CA3ED" w14:textId="243CCA13" w:rsidR="000B1BF6" w:rsidRDefault="00A32C77">
      <w:pPr>
        <w:pStyle w:val="Indholdsfortegnelse1"/>
        <w:tabs>
          <w:tab w:val="left" w:pos="660"/>
          <w:tab w:val="right" w:leader="dot" w:pos="7078"/>
        </w:tabs>
        <w:rPr>
          <w:rFonts w:asciiTheme="minorHAnsi" w:eastAsiaTheme="minorEastAsia" w:hAnsiTheme="minorHAnsi"/>
          <w:noProof/>
          <w:sz w:val="22"/>
          <w:lang w:eastAsia="da-DK"/>
        </w:rPr>
      </w:pPr>
      <w:r w:rsidRPr="00532257">
        <w:fldChar w:fldCharType="begin"/>
      </w:r>
      <w:r w:rsidRPr="00532257">
        <w:instrText xml:space="preserve"> TOC \o "1-3" \h \z \u </w:instrText>
      </w:r>
      <w:r w:rsidRPr="00532257">
        <w:fldChar w:fldCharType="separate"/>
      </w:r>
      <w:hyperlink w:anchor="_Toc524351832" w:history="1">
        <w:r w:rsidR="000B1BF6" w:rsidRPr="002E053A">
          <w:rPr>
            <w:rStyle w:val="Hyperlink"/>
            <w:b/>
            <w:noProof/>
          </w:rPr>
          <w:t>1.</w:t>
        </w:r>
        <w:r w:rsidR="000B1BF6"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="000B1BF6" w:rsidRPr="002E053A">
          <w:rPr>
            <w:rStyle w:val="Hyperlink"/>
            <w:b/>
            <w:noProof/>
          </w:rPr>
          <w:t>Baggrund</w:t>
        </w:r>
        <w:r w:rsidR="000B1BF6">
          <w:rPr>
            <w:noProof/>
            <w:webHidden/>
          </w:rPr>
          <w:tab/>
        </w:r>
        <w:r w:rsidR="000B1BF6">
          <w:rPr>
            <w:noProof/>
            <w:webHidden/>
          </w:rPr>
          <w:fldChar w:fldCharType="begin"/>
        </w:r>
        <w:r w:rsidR="000B1BF6">
          <w:rPr>
            <w:noProof/>
            <w:webHidden/>
          </w:rPr>
          <w:instrText xml:space="preserve"> PAGEREF _Toc524351832 \h </w:instrText>
        </w:r>
        <w:r w:rsidR="000B1BF6">
          <w:rPr>
            <w:noProof/>
            <w:webHidden/>
          </w:rPr>
        </w:r>
        <w:r w:rsidR="000B1BF6">
          <w:rPr>
            <w:noProof/>
            <w:webHidden/>
          </w:rPr>
          <w:fldChar w:fldCharType="separate"/>
        </w:r>
        <w:r w:rsidR="000B1BF6">
          <w:rPr>
            <w:noProof/>
            <w:webHidden/>
          </w:rPr>
          <w:t>3</w:t>
        </w:r>
        <w:r w:rsidR="000B1BF6">
          <w:rPr>
            <w:noProof/>
            <w:webHidden/>
          </w:rPr>
          <w:fldChar w:fldCharType="end"/>
        </w:r>
      </w:hyperlink>
    </w:p>
    <w:p w14:paraId="4609B634" w14:textId="6834EB28" w:rsidR="000B1BF6" w:rsidRDefault="000B1BF6">
      <w:pPr>
        <w:pStyle w:val="Indholdsfortegnelse1"/>
        <w:tabs>
          <w:tab w:val="left" w:pos="660"/>
          <w:tab w:val="right" w:leader="dot" w:pos="7078"/>
        </w:tabs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24351833" w:history="1">
        <w:r w:rsidRPr="002E053A">
          <w:rPr>
            <w:rStyle w:val="Hyperlink"/>
            <w:b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Pr="002E053A">
          <w:rPr>
            <w:rStyle w:val="Hyperlink"/>
            <w:b/>
            <w:noProof/>
          </w:rPr>
          <w:t>Markedspraksis for afvikling af tredjemandshandler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_Toc524351833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D9FD36F" w14:textId="3061DDED" w:rsidR="000B1BF6" w:rsidRDefault="000B1BF6">
      <w:pPr>
        <w:pStyle w:val="Indholdsfortegnelse3"/>
        <w:tabs>
          <w:tab w:val="left" w:pos="880"/>
          <w:tab w:val="right" w:leader="dot" w:pos="7078"/>
        </w:tabs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24351836" w:history="1">
        <w:r w:rsidRPr="002E053A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Pr="002E053A">
          <w:rPr>
            <w:rStyle w:val="Hyperlink"/>
            <w:noProof/>
          </w:rPr>
          <w:t>Markedspraksis for afvikling af tredjemandshandler via T2S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_Toc524351836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77F54C3" w14:textId="50B1454C" w:rsidR="000B1BF6" w:rsidRDefault="000B1BF6">
      <w:pPr>
        <w:pStyle w:val="Indholdsfortegnelse3"/>
        <w:tabs>
          <w:tab w:val="left" w:pos="880"/>
          <w:tab w:val="right" w:leader="dot" w:pos="7078"/>
        </w:tabs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24351837" w:history="1">
        <w:r w:rsidRPr="002E053A"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Pr="002E053A">
          <w:rPr>
            <w:rStyle w:val="Hyperlink"/>
            <w:noProof/>
          </w:rPr>
          <w:t>Markedspraksis for afvikling af tredjemandshandler via VP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_Toc524351837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AE3BE63" w14:textId="66D2127C" w:rsidR="000B1BF6" w:rsidRDefault="000B1BF6">
      <w:pPr>
        <w:pStyle w:val="Indholdsfortegnelse1"/>
        <w:tabs>
          <w:tab w:val="left" w:pos="660"/>
          <w:tab w:val="right" w:leader="dot" w:pos="7078"/>
        </w:tabs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24351838" w:history="1">
        <w:r w:rsidRPr="002E053A">
          <w:rPr>
            <w:rStyle w:val="Hyperlink"/>
            <w:b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Pr="002E053A">
          <w:rPr>
            <w:rStyle w:val="Hyperlink"/>
            <w:b/>
            <w:noProof/>
          </w:rPr>
          <w:t>Matchkriterier og nødvendige oplysninger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_Toc524351838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E0BDE6A" w14:textId="2B402746" w:rsidR="000B1BF6" w:rsidRDefault="000B1BF6">
      <w:pPr>
        <w:pStyle w:val="Indholdsfortegnelse3"/>
        <w:tabs>
          <w:tab w:val="left" w:pos="880"/>
          <w:tab w:val="right" w:leader="dot" w:pos="7078"/>
        </w:tabs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24351840" w:history="1">
        <w:r w:rsidRPr="002E053A"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Pr="002E053A">
          <w:rPr>
            <w:rStyle w:val="Hyperlink"/>
            <w:noProof/>
          </w:rPr>
          <w:t>Matchkriterier for afvikling via VP (anvendelse af derogationsreglen)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_Toc524351840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8606B7C" w14:textId="5734525E" w:rsidR="000B1BF6" w:rsidRDefault="000B1BF6">
      <w:pPr>
        <w:pStyle w:val="Indholdsfortegnelse3"/>
        <w:tabs>
          <w:tab w:val="left" w:pos="880"/>
          <w:tab w:val="right" w:leader="dot" w:pos="7078"/>
        </w:tabs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24351841" w:history="1">
        <w:r w:rsidRPr="002E053A">
          <w:rPr>
            <w:rStyle w:val="Hyperlink"/>
            <w:noProof/>
          </w:rPr>
          <w:t>3.2.</w:t>
        </w:r>
        <w:r>
          <w:rPr>
            <w:rFonts w:asciiTheme="minorHAnsi" w:eastAsiaTheme="minorEastAsia" w:hAnsiTheme="minorHAnsi"/>
            <w:noProof/>
            <w:sz w:val="22"/>
            <w:lang w:eastAsia="da-DK"/>
          </w:rPr>
          <w:tab/>
        </w:r>
        <w:r w:rsidRPr="002E053A">
          <w:rPr>
            <w:rStyle w:val="Hyperlink"/>
            <w:noProof/>
          </w:rPr>
          <w:t>Matchkriterier for afvikling via T2S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_Toc524351841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608723A" w14:textId="519EB8E8" w:rsidR="000B1BF6" w:rsidRDefault="000B1BF6">
      <w:pPr>
        <w:pStyle w:val="Indholdsfortegnelse1"/>
        <w:tabs>
          <w:tab w:val="right" w:leader="dot" w:pos="7078"/>
        </w:tabs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24351842" w:history="1">
        <w:r w:rsidRPr="002E053A">
          <w:rPr>
            <w:rStyle w:val="Hyperlink"/>
            <w:b/>
            <w:noProof/>
          </w:rPr>
          <w:t>Bilag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_Toc524351842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D12F06B" w14:textId="45E22FD8" w:rsidR="000B1BF6" w:rsidRDefault="000B1BF6">
      <w:pPr>
        <w:pStyle w:val="Indholdsfortegnelse2"/>
        <w:tabs>
          <w:tab w:val="right" w:leader="dot" w:pos="7078"/>
        </w:tabs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24351843" w:history="1">
        <w:r w:rsidRPr="002E053A">
          <w:rPr>
            <w:rStyle w:val="Hyperlink"/>
            <w:noProof/>
          </w:rPr>
          <w:t>Bilag 1: Instruktioner for VP og T2S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_Toc524351843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A9DE813" w14:textId="7AE3FCA2" w:rsidR="000B1BF6" w:rsidRDefault="000B1BF6">
      <w:pPr>
        <w:pStyle w:val="Indholdsfortegnelse2"/>
        <w:tabs>
          <w:tab w:val="right" w:leader="dot" w:pos="7078"/>
        </w:tabs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24351844" w:history="1">
        <w:r w:rsidRPr="002E053A">
          <w:rPr>
            <w:rStyle w:val="Hyperlink"/>
            <w:noProof/>
          </w:rPr>
          <w:t>Bilag 2: Depotstrukturen i VP efter 29. oktober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_Toc524351844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6DD0B61" w14:textId="6573FD54" w:rsidR="000B1BF6" w:rsidRDefault="000B1BF6">
      <w:pPr>
        <w:pStyle w:val="Indholdsfortegnelse2"/>
        <w:tabs>
          <w:tab w:val="right" w:leader="dot" w:pos="7078"/>
        </w:tabs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24351845" w:history="1">
        <w:r w:rsidRPr="002E053A">
          <w:rPr>
            <w:rStyle w:val="Hyperlink"/>
            <w:noProof/>
          </w:rPr>
          <w:t>Bilag 3: Definitioner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_Toc524351845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90A4010" w14:textId="6872FCF6" w:rsidR="000B1BF6" w:rsidRDefault="000B1BF6">
      <w:pPr>
        <w:pStyle w:val="Indholdsfortegnelse2"/>
        <w:tabs>
          <w:tab w:val="right" w:leader="dot" w:pos="7078"/>
        </w:tabs>
        <w:rPr>
          <w:rFonts w:asciiTheme="minorHAnsi" w:eastAsiaTheme="minorEastAsia" w:hAnsiTheme="minorHAnsi"/>
          <w:noProof/>
          <w:sz w:val="22"/>
          <w:lang w:eastAsia="da-DK"/>
        </w:rPr>
      </w:pPr>
      <w:hyperlink w:anchor="_Toc524351846" w:history="1">
        <w:r w:rsidRPr="002E053A">
          <w:rPr>
            <w:rStyle w:val="Hyperlink"/>
            <w:noProof/>
          </w:rPr>
          <w:t>Bilag 4: Illustrationer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_Toc524351846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7B2AE60" w14:textId="0CC0D94A" w:rsidR="00A32C77" w:rsidRDefault="00A32C77" w:rsidP="00A32C77">
      <w:r w:rsidRPr="00532257">
        <w:fldChar w:fldCharType="end"/>
      </w:r>
    </w:p>
    <w:p w14:paraId="2CD86EAB" w14:textId="77777777" w:rsidR="00A32C77" w:rsidRDefault="00A32C77" w:rsidP="00A32C77">
      <w:pPr>
        <w:spacing w:line="240" w:lineRule="auto"/>
      </w:pPr>
      <w:r>
        <w:br w:type="page"/>
      </w:r>
    </w:p>
    <w:p w14:paraId="061A6F24" w14:textId="77777777" w:rsidR="00A32C77" w:rsidRPr="00AD0EC3" w:rsidRDefault="00A32C77" w:rsidP="00672870">
      <w:pPr>
        <w:pStyle w:val="Overskrift1"/>
        <w:numPr>
          <w:ilvl w:val="0"/>
          <w:numId w:val="14"/>
        </w:numPr>
        <w:tabs>
          <w:tab w:val="clear" w:pos="284"/>
        </w:tabs>
        <w:rPr>
          <w:b/>
        </w:rPr>
      </w:pPr>
      <w:bookmarkStart w:id="3" w:name="_Toc524351832"/>
      <w:r w:rsidRPr="00AD0EC3">
        <w:rPr>
          <w:b/>
        </w:rPr>
        <w:lastRenderedPageBreak/>
        <w:t>Baggrund</w:t>
      </w:r>
      <w:bookmarkEnd w:id="3"/>
    </w:p>
    <w:p w14:paraId="3F266376" w14:textId="56870C2F" w:rsidR="00A32C77" w:rsidRDefault="00A32C77" w:rsidP="003168CA">
      <w:r w:rsidRPr="00850484">
        <w:t xml:space="preserve">Fra 29. oktober 2018 skal handel med værdipapirer, der </w:t>
      </w:r>
      <w:r>
        <w:t>afvikler</w:t>
      </w:r>
      <w:r w:rsidRPr="00850484">
        <w:t xml:space="preserve"> i DKK</w:t>
      </w:r>
      <w:r>
        <w:t xml:space="preserve"> og EUR</w:t>
      </w:r>
      <w:r>
        <w:rPr>
          <w:rStyle w:val="Fodnotehenvisning"/>
          <w:sz w:val="24"/>
          <w:szCs w:val="24"/>
        </w:rPr>
        <w:footnoteReference w:id="2"/>
      </w:r>
      <w:r>
        <w:t>,</w:t>
      </w:r>
      <w:r w:rsidRPr="00850484">
        <w:t xml:space="preserve"> og</w:t>
      </w:r>
      <w:r>
        <w:t xml:space="preserve"> hvor værdipapiret er</w:t>
      </w:r>
      <w:r w:rsidRPr="00850484">
        <w:t xml:space="preserve"> udstedt eller registreret i VP </w:t>
      </w:r>
      <w:proofErr w:type="spellStart"/>
      <w:r w:rsidRPr="00850484">
        <w:t>Securities</w:t>
      </w:r>
      <w:proofErr w:type="spellEnd"/>
      <w:r w:rsidRPr="00850484">
        <w:t xml:space="preserve"> A/S (”VP</w:t>
      </w:r>
      <w:r>
        <w:t>”</w:t>
      </w:r>
      <w:r w:rsidRPr="00850484">
        <w:t>), som udgangspunkt afvikles via den fælleseuropæiske afviklingsplatform, Target2</w:t>
      </w:r>
      <w:r>
        <w:softHyphen/>
      </w:r>
      <w:r w:rsidRPr="00850484">
        <w:t>Securities (”T2S”), hvis handlen afvikles som Delivery-versus-Payment (”DVP”) i centralbankpenge, dvs. hvis køber og sælger har to forskellige betalingsstillere (tredjemandshandler</w:t>
      </w:r>
      <w:r>
        <w:rPr>
          <w:rStyle w:val="Fodnotehenvisning"/>
          <w:sz w:val="24"/>
          <w:szCs w:val="24"/>
        </w:rPr>
        <w:footnoteReference w:id="3"/>
      </w:r>
      <w:r>
        <w:t>)</w:t>
      </w:r>
      <w:r w:rsidRPr="00850484">
        <w:t xml:space="preserve">. </w:t>
      </w:r>
      <w:r>
        <w:t xml:space="preserve">Afvikling via T2S forudsætter dog, at </w:t>
      </w:r>
      <w:r w:rsidRPr="00850484">
        <w:t>handlen vedrøre</w:t>
      </w:r>
      <w:r>
        <w:t>r</w:t>
      </w:r>
      <w:r w:rsidRPr="00850484">
        <w:t xml:space="preserve"> et værdipapir, der kan afvikles via T2S</w:t>
      </w:r>
      <w:r w:rsidRPr="00850484">
        <w:rPr>
          <w:rStyle w:val="Fodnotehenvisning"/>
          <w:sz w:val="24"/>
          <w:szCs w:val="24"/>
        </w:rPr>
        <w:footnoteReference w:id="4"/>
      </w:r>
      <w:r w:rsidRPr="00850484">
        <w:t>.</w:t>
      </w:r>
    </w:p>
    <w:p w14:paraId="3EC2863A" w14:textId="77777777" w:rsidR="00A32C77" w:rsidRPr="00850484" w:rsidRDefault="00A32C77" w:rsidP="00A32C77"/>
    <w:p w14:paraId="47A4292D" w14:textId="715CBFDB" w:rsidR="00A32C77" w:rsidRDefault="00A32C77" w:rsidP="00A32C77">
      <w:r w:rsidRPr="00850484">
        <w:t xml:space="preserve">Afvikling af værdipapirer </w:t>
      </w:r>
      <w:proofErr w:type="spellStart"/>
      <w:r w:rsidRPr="00850484">
        <w:t>Free</w:t>
      </w:r>
      <w:proofErr w:type="spellEnd"/>
      <w:r w:rsidRPr="00850484">
        <w:t>-of-Payment (”FO</w:t>
      </w:r>
      <w:r>
        <w:t>P</w:t>
      </w:r>
      <w:r w:rsidRPr="00850484">
        <w:t>”) og DVP</w:t>
      </w:r>
      <w:r w:rsidR="003168CA">
        <w:t>-</w:t>
      </w:r>
      <w:r w:rsidRPr="00850484">
        <w:t>afvikling af handler mellem to parter med samme betalingsstiller, kan</w:t>
      </w:r>
      <w:r>
        <w:t xml:space="preserve"> </w:t>
      </w:r>
      <w:r w:rsidRPr="00850484">
        <w:t>også</w:t>
      </w:r>
      <w:r>
        <w:t xml:space="preserve"> </w:t>
      </w:r>
      <w:r w:rsidRPr="00850484">
        <w:t xml:space="preserve">efter 29. oktober 2018 ske via </w:t>
      </w:r>
      <w:proofErr w:type="spellStart"/>
      <w:r w:rsidRPr="00850484">
        <w:t>VP</w:t>
      </w:r>
      <w:r>
        <w:t>’</w:t>
      </w:r>
      <w:r w:rsidRPr="00850484">
        <w:t>s</w:t>
      </w:r>
      <w:proofErr w:type="spellEnd"/>
      <w:r w:rsidRPr="00850484">
        <w:t xml:space="preserve"> afviklingsplatform.</w:t>
      </w:r>
    </w:p>
    <w:p w14:paraId="7FCC6F79" w14:textId="77777777" w:rsidR="00A32C77" w:rsidRDefault="00A32C77" w:rsidP="00A32C77">
      <w:pPr>
        <w:spacing w:line="300" w:lineRule="exact"/>
        <w:jc w:val="both"/>
        <w:rPr>
          <w:sz w:val="24"/>
          <w:szCs w:val="24"/>
        </w:rPr>
      </w:pPr>
    </w:p>
    <w:p w14:paraId="60DD63C6" w14:textId="73BB0E40" w:rsidR="00A32C77" w:rsidRDefault="00A32C77" w:rsidP="00A32C77">
      <w:r>
        <w:t xml:space="preserve">Som en undtagelse til ovenstående </w:t>
      </w:r>
      <w:r w:rsidRPr="00850484">
        <w:t xml:space="preserve">har VP i sin tilslutningsaftale med T2S fået mulighed for at </w:t>
      </w:r>
      <w:r>
        <w:t xml:space="preserve">gennemføre </w:t>
      </w:r>
      <w:r w:rsidRPr="00850484">
        <w:t>op til 5</w:t>
      </w:r>
      <w:r>
        <w:t xml:space="preserve"> pct.</w:t>
      </w:r>
      <w:r w:rsidRPr="00850484">
        <w:t xml:space="preserve"> af alle DVP</w:t>
      </w:r>
      <w:r w:rsidR="003168CA">
        <w:t>-</w:t>
      </w:r>
      <w:r w:rsidRPr="00850484">
        <w:t xml:space="preserve">afviklinger, der gennemføres via VP </w:t>
      </w:r>
      <w:r>
        <w:t xml:space="preserve">(dvs. enten på </w:t>
      </w:r>
      <w:proofErr w:type="spellStart"/>
      <w:r>
        <w:t>VP’s</w:t>
      </w:r>
      <w:proofErr w:type="spellEnd"/>
      <w:r>
        <w:t xml:space="preserve"> egen eller </w:t>
      </w:r>
      <w:r w:rsidRPr="00850484">
        <w:t>T2S</w:t>
      </w:r>
      <w:r>
        <w:t>’ platform)</w:t>
      </w:r>
      <w:r w:rsidRPr="00850484">
        <w:t xml:space="preserve">, </w:t>
      </w:r>
      <w:r>
        <w:t xml:space="preserve">som </w:t>
      </w:r>
      <w:r w:rsidRPr="00850484">
        <w:t>DVP</w:t>
      </w:r>
      <w:r w:rsidR="003168CA">
        <w:t>-</w:t>
      </w:r>
      <w:r w:rsidRPr="00850484">
        <w:t>afvikling i centralbankpenge via VP</w:t>
      </w:r>
      <w:r>
        <w:t>. Denne undtagelse kaldes i dette notat for ”</w:t>
      </w:r>
      <w:r w:rsidRPr="00850484">
        <w:t>derogationsreglen</w:t>
      </w:r>
      <w:r>
        <w:t>”</w:t>
      </w:r>
      <w:r w:rsidRPr="00850484">
        <w:t>.</w:t>
      </w:r>
    </w:p>
    <w:p w14:paraId="284995A6" w14:textId="77777777" w:rsidR="00A32C77" w:rsidRDefault="00A32C77" w:rsidP="00A32C77">
      <w:pPr>
        <w:spacing w:line="300" w:lineRule="exact"/>
        <w:jc w:val="both"/>
        <w:rPr>
          <w:sz w:val="24"/>
          <w:szCs w:val="24"/>
        </w:rPr>
      </w:pPr>
    </w:p>
    <w:p w14:paraId="29FEB84E" w14:textId="6A1EA7AE" w:rsidR="00A32C77" w:rsidRPr="00156357" w:rsidRDefault="00A32C77" w:rsidP="00A32C77">
      <w:pPr>
        <w:rPr>
          <w:b/>
        </w:rPr>
      </w:pPr>
      <w:r>
        <w:rPr>
          <w:b/>
        </w:rPr>
        <w:t>Formålet med dette notat er at beskrive markedspraksis</w:t>
      </w:r>
      <w:r w:rsidRPr="00156357">
        <w:rPr>
          <w:b/>
        </w:rPr>
        <w:t xml:space="preserve"> for afvikling af tredjemandshandler via T2S efter 29. oktober 2018.</w:t>
      </w:r>
    </w:p>
    <w:p w14:paraId="2BF14840" w14:textId="77777777" w:rsidR="00A32C77" w:rsidRDefault="00A32C77" w:rsidP="00A32C77"/>
    <w:p w14:paraId="626D96C4" w14:textId="6BE16F64" w:rsidR="00A32C77" w:rsidRPr="00156357" w:rsidRDefault="00A32C77" w:rsidP="00A32C77">
      <w:pPr>
        <w:rPr>
          <w:b/>
        </w:rPr>
      </w:pPr>
      <w:r w:rsidRPr="00156357">
        <w:rPr>
          <w:b/>
        </w:rPr>
        <w:t xml:space="preserve">Derudover beskrives markedspraksis for, hvornår en tredjemandshandel ved benyttelse af undtagelsen (derogationsreglen) </w:t>
      </w:r>
      <w:r>
        <w:rPr>
          <w:b/>
        </w:rPr>
        <w:t>skal</w:t>
      </w:r>
      <w:r w:rsidRPr="00156357">
        <w:rPr>
          <w:b/>
        </w:rPr>
        <w:t xml:space="preserve"> afvikles via VP efter 29. oktober 2018. </w:t>
      </w:r>
      <w:r w:rsidRPr="00AA462C">
        <w:rPr>
          <w:b/>
        </w:rPr>
        <w:t xml:space="preserve">Markedspraksissen beskriver dermed den standard, som – medmindre de afviklende banker aftaler andet – skal følges for at sikre </w:t>
      </w:r>
      <w:r>
        <w:rPr>
          <w:b/>
        </w:rPr>
        <w:t>match</w:t>
      </w:r>
      <w:r w:rsidRPr="00AA462C">
        <w:rPr>
          <w:b/>
        </w:rPr>
        <w:t xml:space="preserve">. </w:t>
      </w:r>
      <w:r w:rsidRPr="00156357">
        <w:rPr>
          <w:b/>
        </w:rPr>
        <w:t>Markedspraksis er udformet</w:t>
      </w:r>
      <w:r>
        <w:rPr>
          <w:b/>
        </w:rPr>
        <w:t xml:space="preserve"> med henblik på at undgå, at 5 </w:t>
      </w:r>
      <w:proofErr w:type="spellStart"/>
      <w:r>
        <w:rPr>
          <w:b/>
        </w:rPr>
        <w:t>pct.</w:t>
      </w:r>
      <w:r w:rsidR="003168CA">
        <w:rPr>
          <w:b/>
        </w:rPr>
        <w:t>-</w:t>
      </w:r>
      <w:r>
        <w:rPr>
          <w:b/>
        </w:rPr>
        <w:t>grænsen</w:t>
      </w:r>
      <w:proofErr w:type="spellEnd"/>
      <w:r>
        <w:rPr>
          <w:b/>
        </w:rPr>
        <w:t xml:space="preserve"> overskrides</w:t>
      </w:r>
      <w:r w:rsidRPr="00156357">
        <w:rPr>
          <w:b/>
        </w:rPr>
        <w:t>.</w:t>
      </w:r>
    </w:p>
    <w:p w14:paraId="213DBD0A" w14:textId="77777777" w:rsidR="00A32C77" w:rsidRDefault="00A32C77" w:rsidP="00A32C77"/>
    <w:p w14:paraId="5889E852" w14:textId="77777777" w:rsidR="00A32C77" w:rsidRDefault="00A32C77" w:rsidP="00A32C77">
      <w:r>
        <w:t xml:space="preserve">Markedspraksissen </w:t>
      </w:r>
      <w:r w:rsidRPr="00AA462C">
        <w:t>er således udarbejdet for at hjælpe de afviklende banker med at sikre, at de begge instruerer mod de samme depoter – og dermed sikre match af afviklingsinstruktionerne.</w:t>
      </w:r>
    </w:p>
    <w:p w14:paraId="3DA27AC4" w14:textId="77777777" w:rsidR="00A32C77" w:rsidRDefault="00A32C77" w:rsidP="00A32C77"/>
    <w:p w14:paraId="1D4C770A" w14:textId="77777777" w:rsidR="00A32C77" w:rsidRDefault="00A32C77" w:rsidP="00A32C77">
      <w:r>
        <w:t>M</w:t>
      </w:r>
      <w:r w:rsidRPr="00850484">
        <w:t>arkedspr</w:t>
      </w:r>
      <w:r>
        <w:t xml:space="preserve">aksis </w:t>
      </w:r>
      <w:r w:rsidRPr="00850484">
        <w:t>er udarbejdet i en arbejdsgruppe i regi af Finans Danmark</w:t>
      </w:r>
      <w:r>
        <w:t xml:space="preserve"> og Børsmæglerforeningen</w:t>
      </w:r>
      <w:r w:rsidRPr="00850484">
        <w:t xml:space="preserve"> bestående af medlemsrepræsentanter</w:t>
      </w:r>
      <w:r>
        <w:t>.</w:t>
      </w:r>
      <w:r w:rsidRPr="00850484">
        <w:t xml:space="preserve"> VP</w:t>
      </w:r>
      <w:r>
        <w:t xml:space="preserve"> har bistået i processen, og deltaget i en række af arbejdsgruppens møder.</w:t>
      </w:r>
    </w:p>
    <w:p w14:paraId="197F7933" w14:textId="77777777" w:rsidR="00A32C77" w:rsidRDefault="00A32C77" w:rsidP="00A32C77"/>
    <w:p w14:paraId="4A5966B4" w14:textId="6EA43642" w:rsidR="00A32C77" w:rsidRDefault="00A32C77" w:rsidP="00A32C77">
      <w:r w:rsidRPr="00850484">
        <w:lastRenderedPageBreak/>
        <w:t xml:space="preserve">Spørgsmål til </w:t>
      </w:r>
      <w:r>
        <w:t xml:space="preserve">markedspraksis for afvikling af tredjemandshandler </w:t>
      </w:r>
      <w:r w:rsidRPr="00850484">
        <w:t xml:space="preserve">via </w:t>
      </w:r>
      <w:r>
        <w:t xml:space="preserve">T2S og </w:t>
      </w:r>
      <w:r w:rsidRPr="00850484">
        <w:t xml:space="preserve">VP </w:t>
      </w:r>
      <w:r>
        <w:t xml:space="preserve">(overholdelse af derogationsreglen) </w:t>
      </w:r>
      <w:r w:rsidRPr="00850484">
        <w:t>kan rettes til Finans Danmark</w:t>
      </w:r>
      <w:r>
        <w:t xml:space="preserve"> og Børsmæglerforeningen</w:t>
      </w:r>
      <w:r w:rsidRPr="00850484">
        <w:t>.</w:t>
      </w:r>
    </w:p>
    <w:p w14:paraId="62C5E4AD" w14:textId="77777777" w:rsidR="00A32C77" w:rsidRDefault="00A32C77" w:rsidP="00A32C77"/>
    <w:p w14:paraId="5CE2A028" w14:textId="77777777" w:rsidR="00A32C77" w:rsidRDefault="00A32C77" w:rsidP="00A32C77">
      <w:r>
        <w:t xml:space="preserve">Markedspraksis vil være tilgængelig i en opdateret udgave på foreningernes hjemmeside </w:t>
      </w:r>
      <w:hyperlink r:id="rId12" w:history="1">
        <w:r w:rsidRPr="00A679A8">
          <w:rPr>
            <w:rStyle w:val="Hyperlink"/>
          </w:rPr>
          <w:t>www.fida.dk</w:t>
        </w:r>
      </w:hyperlink>
      <w:r>
        <w:t xml:space="preserve"> </w:t>
      </w:r>
      <w:r w:rsidRPr="001200F8">
        <w:rPr>
          <w:highlight w:val="yellow"/>
        </w:rPr>
        <w:t>[Dybt link lægges ind].</w:t>
      </w:r>
    </w:p>
    <w:p w14:paraId="7D26FA2A" w14:textId="77777777" w:rsidR="00A32C77" w:rsidRDefault="00A32C77" w:rsidP="00A32C77"/>
    <w:p w14:paraId="5B582314" w14:textId="77777777" w:rsidR="00A32C77" w:rsidRDefault="00A32C77" w:rsidP="00A32C77">
      <w:pPr>
        <w:spacing w:line="240" w:lineRule="auto"/>
        <w:rPr>
          <w:b/>
          <w:sz w:val="24"/>
          <w:szCs w:val="20"/>
        </w:rPr>
      </w:pPr>
      <w:bookmarkStart w:id="4" w:name="_Toc487121525"/>
      <w:r>
        <w:br w:type="page"/>
      </w:r>
    </w:p>
    <w:p w14:paraId="5F469FFD" w14:textId="77777777" w:rsidR="00A32C77" w:rsidRPr="00AD0EC3" w:rsidRDefault="00A32C77" w:rsidP="00672870">
      <w:pPr>
        <w:pStyle w:val="Overskrift1"/>
        <w:numPr>
          <w:ilvl w:val="0"/>
          <w:numId w:val="14"/>
        </w:numPr>
        <w:tabs>
          <w:tab w:val="clear" w:pos="284"/>
        </w:tabs>
        <w:rPr>
          <w:b/>
        </w:rPr>
      </w:pPr>
      <w:bookmarkStart w:id="5" w:name="_Toc487121528"/>
      <w:bookmarkStart w:id="6" w:name="_Toc524351833"/>
      <w:r>
        <w:rPr>
          <w:b/>
        </w:rPr>
        <w:lastRenderedPageBreak/>
        <w:t>Markedspraksis</w:t>
      </w:r>
      <w:r w:rsidRPr="00AD0EC3">
        <w:rPr>
          <w:b/>
        </w:rPr>
        <w:t xml:space="preserve"> for afvikling af tredjemandshandler</w:t>
      </w:r>
      <w:bookmarkEnd w:id="5"/>
      <w:bookmarkEnd w:id="6"/>
      <w:r w:rsidRPr="00AD0EC3">
        <w:rPr>
          <w:b/>
        </w:rPr>
        <w:t xml:space="preserve"> </w:t>
      </w:r>
    </w:p>
    <w:p w14:paraId="33749210" w14:textId="2FE00422" w:rsidR="00A32C77" w:rsidRDefault="00A32C77" w:rsidP="00A32C77">
      <w:r w:rsidRPr="00850484">
        <w:t>Som nævnt skal alle handler, der afvikles DVP i centralbankpenge (dvs. hvor køber og sælger har to forskellige betalingsstillere)</w:t>
      </w:r>
      <w:r w:rsidR="008F7CD8">
        <w:t>,</w:t>
      </w:r>
      <w:r w:rsidRPr="00850484">
        <w:t xml:space="preserve"> som udgangspunkt afvikles via T2S efter 29. oktober 2018.</w:t>
      </w:r>
    </w:p>
    <w:p w14:paraId="1A1451E5" w14:textId="77777777" w:rsidR="00A32C77" w:rsidRPr="00850484" w:rsidRDefault="00A32C77" w:rsidP="00A32C77"/>
    <w:p w14:paraId="18968F1E" w14:textId="37C74697" w:rsidR="00A32C77" w:rsidRDefault="00A32C77" w:rsidP="00A32C77">
      <w:r>
        <w:t>I</w:t>
      </w:r>
      <w:r w:rsidRPr="008C33A9">
        <w:t xml:space="preserve"> sin tilslutningsaftale med T2S </w:t>
      </w:r>
      <w:r>
        <w:t xml:space="preserve">har </w:t>
      </w:r>
      <w:r w:rsidRPr="008C33A9">
        <w:t xml:space="preserve">VP </w:t>
      </w:r>
      <w:r>
        <w:t xml:space="preserve">dog </w:t>
      </w:r>
      <w:r w:rsidRPr="008C33A9">
        <w:t xml:space="preserve">fået mulighed for at </w:t>
      </w:r>
      <w:r>
        <w:t>gennemføre op til 5 pct.</w:t>
      </w:r>
      <w:r w:rsidRPr="008C33A9">
        <w:t xml:space="preserve"> af alle DVP</w:t>
      </w:r>
      <w:r w:rsidR="008F7CD8">
        <w:t>-</w:t>
      </w:r>
      <w:r w:rsidRPr="008C33A9">
        <w:t xml:space="preserve">afviklinger, der gennemføres via VP </w:t>
      </w:r>
      <w:r>
        <w:t xml:space="preserve">(dvs. enten på </w:t>
      </w:r>
      <w:proofErr w:type="spellStart"/>
      <w:r>
        <w:t>VP’s</w:t>
      </w:r>
      <w:proofErr w:type="spellEnd"/>
      <w:r>
        <w:t xml:space="preserve"> egen eller </w:t>
      </w:r>
      <w:r w:rsidRPr="008C33A9">
        <w:t>T2S</w:t>
      </w:r>
      <w:r>
        <w:t>’ platform)</w:t>
      </w:r>
      <w:r w:rsidRPr="008C33A9">
        <w:t xml:space="preserve">, </w:t>
      </w:r>
      <w:r>
        <w:t xml:space="preserve">som </w:t>
      </w:r>
      <w:r w:rsidRPr="008C33A9">
        <w:t>DVP</w:t>
      </w:r>
      <w:r w:rsidR="008F7CD8">
        <w:t>-</w:t>
      </w:r>
      <w:r w:rsidRPr="008C33A9">
        <w:t>afvikling i centralbankpenge via VP (derogationsreglen).</w:t>
      </w:r>
    </w:p>
    <w:p w14:paraId="62FD2BF7" w14:textId="77777777" w:rsidR="00A32C77" w:rsidRPr="00850484" w:rsidRDefault="00A32C77" w:rsidP="00A32C77"/>
    <w:p w14:paraId="258C9A2B" w14:textId="72EBD848" w:rsidR="00A32C77" w:rsidRPr="00850484" w:rsidRDefault="00A32C77" w:rsidP="00A32C77">
      <w:r w:rsidRPr="00850484">
        <w:t>Formlen for der</w:t>
      </w:r>
      <w:r w:rsidRPr="00F66A6C">
        <w:t>ogationsreglen lyder således</w:t>
      </w:r>
      <w:r w:rsidRPr="00850484">
        <w:t>:</w:t>
      </w:r>
    </w:p>
    <w:p w14:paraId="1E032BA1" w14:textId="77777777" w:rsidR="00A32C77" w:rsidRPr="00850484" w:rsidRDefault="00A32C77" w:rsidP="00A32C77"/>
    <w:p w14:paraId="7AAD8851" w14:textId="7C6B14A6" w:rsidR="00A32C77" w:rsidRPr="00850484" w:rsidRDefault="00A32C77" w:rsidP="00A32C77">
      <w:r>
        <w:t xml:space="preserve">                  </w:t>
      </w:r>
      <w:r w:rsidRPr="00850484">
        <w:t>Antal DVP</w:t>
      </w:r>
      <w:r w:rsidR="008F7CD8">
        <w:t>-</w:t>
      </w:r>
      <w:r w:rsidRPr="00850484">
        <w:t>afviklinger i centralbankpenge via VP</w:t>
      </w:r>
    </w:p>
    <w:p w14:paraId="6E537A8B" w14:textId="77777777" w:rsidR="00A32C77" w:rsidRPr="00850484" w:rsidRDefault="00A32C77" w:rsidP="00A32C77">
      <w:pPr>
        <w:rPr>
          <w:sz w:val="24"/>
          <w:szCs w:val="24"/>
        </w:rPr>
      </w:pPr>
      <w:proofErr w:type="gramStart"/>
      <w:r w:rsidRPr="00850484">
        <w:rPr>
          <w:strike/>
          <w:sz w:val="24"/>
          <w:szCs w:val="24"/>
        </w:rPr>
        <w:t xml:space="preserve">------------------------------------------------------------------------------ </w:t>
      </w:r>
      <w:r w:rsidRPr="00850484">
        <w:rPr>
          <w:sz w:val="24"/>
          <w:szCs w:val="24"/>
        </w:rPr>
        <w:t xml:space="preserve"> &lt;</w:t>
      </w:r>
      <w:proofErr w:type="gramEnd"/>
      <w:r w:rsidRPr="00850484">
        <w:rPr>
          <w:sz w:val="24"/>
          <w:szCs w:val="24"/>
        </w:rPr>
        <w:t xml:space="preserve"> 5%</w:t>
      </w:r>
    </w:p>
    <w:p w14:paraId="13910EB9" w14:textId="77777777" w:rsidR="00A32C77" w:rsidRPr="00850484" w:rsidRDefault="00A32C77" w:rsidP="00A32C77">
      <w:r>
        <w:t xml:space="preserve">                          </w:t>
      </w:r>
      <w:r w:rsidRPr="00850484">
        <w:t>Totalt antal DVP afviklinger via VP og T2S</w:t>
      </w:r>
    </w:p>
    <w:p w14:paraId="3EEE9C29" w14:textId="77777777" w:rsidR="00A32C77" w:rsidRPr="00850484" w:rsidRDefault="00A32C77" w:rsidP="00A32C77">
      <w:pPr>
        <w:rPr>
          <w:sz w:val="24"/>
          <w:szCs w:val="24"/>
        </w:rPr>
      </w:pPr>
    </w:p>
    <w:p w14:paraId="62E99946" w14:textId="2B725559" w:rsidR="00A32C77" w:rsidRDefault="00A32C77" w:rsidP="00A32C77">
      <w:r w:rsidRPr="00850484">
        <w:t>For at</w:t>
      </w:r>
      <w:r>
        <w:t xml:space="preserve"> undgå, at 5 </w:t>
      </w:r>
      <w:proofErr w:type="spellStart"/>
      <w:r>
        <w:t>pct.</w:t>
      </w:r>
      <w:r w:rsidR="008F7CD8">
        <w:t>-</w:t>
      </w:r>
      <w:r>
        <w:t>grænsen</w:t>
      </w:r>
      <w:proofErr w:type="spellEnd"/>
      <w:r>
        <w:t xml:space="preserve"> overskrides</w:t>
      </w:r>
      <w:r w:rsidRPr="00850484">
        <w:t xml:space="preserve">, har sektoren </w:t>
      </w:r>
      <w:r>
        <w:t>udarbejdet</w:t>
      </w:r>
      <w:r w:rsidRPr="00850484">
        <w:t xml:space="preserve"> følgende markeds</w:t>
      </w:r>
      <w:r>
        <w:t>praksis</w:t>
      </w:r>
      <w:r w:rsidRPr="00850484">
        <w:t xml:space="preserve"> for hvilke transaktioner, der </w:t>
      </w:r>
      <w:r>
        <w:t xml:space="preserve">skal </w:t>
      </w:r>
      <w:r w:rsidRPr="00850484">
        <w:t xml:space="preserve">afvikles DVP i centralbankpenge via </w:t>
      </w:r>
      <w:r>
        <w:t xml:space="preserve">henholdsvis T2S og </w:t>
      </w:r>
      <w:r w:rsidRPr="00850484">
        <w:t>VP:</w:t>
      </w:r>
    </w:p>
    <w:p w14:paraId="36A9FE1A" w14:textId="77777777" w:rsidR="00A32C77" w:rsidRDefault="00A32C77" w:rsidP="00A32C77">
      <w:pPr>
        <w:rPr>
          <w:b/>
        </w:rPr>
      </w:pPr>
    </w:p>
    <w:p w14:paraId="328605F6" w14:textId="77777777" w:rsidR="00A32C77" w:rsidRPr="00170828" w:rsidRDefault="00A32C77" w:rsidP="00672870">
      <w:pPr>
        <w:pStyle w:val="Listeafsnit"/>
        <w:keepNext/>
        <w:keepLines/>
        <w:numPr>
          <w:ilvl w:val="0"/>
          <w:numId w:val="21"/>
        </w:numPr>
        <w:tabs>
          <w:tab w:val="clear" w:pos="284"/>
        </w:tabs>
        <w:spacing w:after="90" w:line="240" w:lineRule="auto"/>
        <w:outlineLvl w:val="2"/>
        <w:rPr>
          <w:vanish/>
        </w:rPr>
      </w:pPr>
      <w:bookmarkStart w:id="7" w:name="_Toc514940942"/>
      <w:bookmarkStart w:id="8" w:name="_Toc515283862"/>
      <w:bookmarkStart w:id="9" w:name="_Toc524351834"/>
      <w:bookmarkEnd w:id="7"/>
      <w:bookmarkEnd w:id="8"/>
      <w:bookmarkEnd w:id="9"/>
    </w:p>
    <w:p w14:paraId="5A9F7207" w14:textId="77777777" w:rsidR="00A32C77" w:rsidRPr="00170828" w:rsidRDefault="00A32C77" w:rsidP="00672870">
      <w:pPr>
        <w:pStyle w:val="Listeafsnit"/>
        <w:keepNext/>
        <w:keepLines/>
        <w:numPr>
          <w:ilvl w:val="0"/>
          <w:numId w:val="21"/>
        </w:numPr>
        <w:tabs>
          <w:tab w:val="clear" w:pos="284"/>
        </w:tabs>
        <w:spacing w:after="90" w:line="240" w:lineRule="auto"/>
        <w:outlineLvl w:val="2"/>
        <w:rPr>
          <w:vanish/>
        </w:rPr>
      </w:pPr>
      <w:bookmarkStart w:id="10" w:name="_Toc514940943"/>
      <w:bookmarkStart w:id="11" w:name="_Toc515283863"/>
      <w:bookmarkStart w:id="12" w:name="_Toc524351835"/>
      <w:bookmarkEnd w:id="10"/>
      <w:bookmarkEnd w:id="11"/>
      <w:bookmarkEnd w:id="12"/>
    </w:p>
    <w:p w14:paraId="31E65135" w14:textId="77777777" w:rsidR="00A32C77" w:rsidRPr="0031039A" w:rsidRDefault="00A32C77" w:rsidP="00672870">
      <w:pPr>
        <w:pStyle w:val="Overskrift3"/>
        <w:numPr>
          <w:ilvl w:val="1"/>
          <w:numId w:val="21"/>
        </w:numPr>
        <w:tabs>
          <w:tab w:val="clear" w:pos="284"/>
        </w:tabs>
      </w:pPr>
      <w:bookmarkStart w:id="13" w:name="_Toc524351836"/>
      <w:r w:rsidRPr="0031039A">
        <w:t>Markedspraksis for afvikling af tredjemandshandler via T2S</w:t>
      </w:r>
      <w:bookmarkEnd w:id="13"/>
      <w:r w:rsidRPr="0031039A">
        <w:t xml:space="preserve"> </w:t>
      </w:r>
    </w:p>
    <w:p w14:paraId="6BC62FD9" w14:textId="77777777" w:rsidR="00A32C77" w:rsidRDefault="00A32C77" w:rsidP="00A32C77">
      <w:r>
        <w:t>Efter 29. oktober 2018 er der følgende mulige scenarier for afvikling af tredjemands</w:t>
      </w:r>
      <w:r w:rsidRPr="00063F73">
        <w:t>handler</w:t>
      </w:r>
      <w:r>
        <w:t xml:space="preserve"> af værdipapirer via T2S:</w:t>
      </w:r>
    </w:p>
    <w:p w14:paraId="2D26909E" w14:textId="77777777" w:rsidR="00A32C77" w:rsidRDefault="00A32C77" w:rsidP="00A32C77"/>
    <w:p w14:paraId="3B86CFBF" w14:textId="64D06ED9" w:rsidR="00A32C77" w:rsidRDefault="00A32C77" w:rsidP="00672870">
      <w:pPr>
        <w:pStyle w:val="Listeafsnit"/>
        <w:numPr>
          <w:ilvl w:val="0"/>
          <w:numId w:val="5"/>
        </w:numPr>
        <w:tabs>
          <w:tab w:val="clear" w:pos="284"/>
        </w:tabs>
      </w:pPr>
      <w:r w:rsidRPr="0063066D">
        <w:rPr>
          <w:b/>
        </w:rPr>
        <w:t>1:1 modellen</w:t>
      </w:r>
      <w:r>
        <w:br/>
      </w:r>
      <w:proofErr w:type="spellStart"/>
      <w:r>
        <w:t>KI’et</w:t>
      </w:r>
      <w:proofErr w:type="spellEnd"/>
      <w:r>
        <w:t xml:space="preserve"> kan på egne eller kunders vegne oprette et segregeret T2S</w:t>
      </w:r>
      <w:r w:rsidR="008F7CD8">
        <w:t>-</w:t>
      </w:r>
      <w:r>
        <w:t>depot, eventuelt i tillæg til eksisterende VP</w:t>
      </w:r>
      <w:r w:rsidR="008F7CD8">
        <w:t>-</w:t>
      </w:r>
      <w:r>
        <w:t xml:space="preserve">depot. </w:t>
      </w:r>
      <w:r w:rsidRPr="00B02576">
        <w:rPr>
          <w:b/>
        </w:rPr>
        <w:t>Eksempel:</w:t>
      </w:r>
      <w:r>
        <w:t xml:space="preserve"> Kunden har oprettet segregeret T2S</w:t>
      </w:r>
      <w:r w:rsidR="008F7CD8">
        <w:t>-</w:t>
      </w:r>
      <w:r>
        <w:t xml:space="preserve">depot. </w:t>
      </w:r>
      <w:r w:rsidRPr="00063F73">
        <w:t xml:space="preserve">T2S-depot </w:t>
      </w:r>
      <w:r>
        <w:t xml:space="preserve">og </w:t>
      </w:r>
      <w:r w:rsidRPr="00063F73">
        <w:t>konto</w:t>
      </w:r>
      <w:r>
        <w:t xml:space="preserve"> er oprettet </w:t>
      </w:r>
      <w:r w:rsidRPr="00063F73">
        <w:t>i Bank Y</w:t>
      </w:r>
      <w:r>
        <w:t xml:space="preserve">. Kunden </w:t>
      </w:r>
      <w:r w:rsidRPr="00063F73">
        <w:t>handle</w:t>
      </w:r>
      <w:r>
        <w:t>r</w:t>
      </w:r>
      <w:r w:rsidRPr="00063F73">
        <w:t xml:space="preserve"> med </w:t>
      </w:r>
      <w:r>
        <w:t>b</w:t>
      </w:r>
      <w:r w:rsidRPr="00063F73">
        <w:t>ank Z</w:t>
      </w:r>
      <w:r>
        <w:t>. Afvikling sker i T2S mellem kundens segregerede T2S</w:t>
      </w:r>
      <w:r w:rsidR="008F7CD8">
        <w:t>-</w:t>
      </w:r>
      <w:r>
        <w:t xml:space="preserve">depot og bank </w:t>
      </w:r>
      <w:proofErr w:type="spellStart"/>
      <w:r>
        <w:t>Z’s</w:t>
      </w:r>
      <w:proofErr w:type="spellEnd"/>
      <w:r>
        <w:t xml:space="preserve"> T2S depot. </w:t>
      </w:r>
      <w:proofErr w:type="spellStart"/>
      <w:r>
        <w:t>Preadvice</w:t>
      </w:r>
      <w:proofErr w:type="spellEnd"/>
      <w:r>
        <w:t xml:space="preserve"> fra bank Y dannes på baggrund af frigivelse/instruktion, jf. </w:t>
      </w:r>
      <w:r w:rsidRPr="00527EC6">
        <w:fldChar w:fldCharType="begin"/>
      </w:r>
      <w:r w:rsidRPr="00527EC6">
        <w:instrText xml:space="preserve"> REF _Ref506989527 \h  \* MERGEFORMAT </w:instrText>
      </w:r>
      <w:r w:rsidRPr="00527EC6">
        <w:fldChar w:fldCharType="separate"/>
      </w:r>
      <w:r w:rsidR="008F7CD8">
        <w:t>f</w:t>
      </w:r>
      <w:r w:rsidR="005B5539" w:rsidRPr="005B5539">
        <w:t xml:space="preserve">igur </w:t>
      </w:r>
      <w:r w:rsidR="005B5539" w:rsidRPr="005B5539">
        <w:rPr>
          <w:noProof/>
        </w:rPr>
        <w:t>1</w:t>
      </w:r>
      <w:r w:rsidRPr="00527EC6">
        <w:fldChar w:fldCharType="end"/>
      </w:r>
      <w:r>
        <w:t xml:space="preserve"> i bilag 4.</w:t>
      </w:r>
      <w:r>
        <w:br/>
      </w:r>
    </w:p>
    <w:p w14:paraId="3DDC9DC4" w14:textId="6EC7D0C4" w:rsidR="00A32C77" w:rsidRDefault="00A32C77" w:rsidP="00672870">
      <w:pPr>
        <w:pStyle w:val="Listeafsnit"/>
        <w:numPr>
          <w:ilvl w:val="0"/>
          <w:numId w:val="5"/>
        </w:numPr>
        <w:tabs>
          <w:tab w:val="clear" w:pos="284"/>
        </w:tabs>
      </w:pPr>
      <w:r w:rsidRPr="0063066D">
        <w:rPr>
          <w:b/>
        </w:rPr>
        <w:t>Omnibusmodellen</w:t>
      </w:r>
      <w:r>
        <w:br/>
      </w:r>
      <w:proofErr w:type="spellStart"/>
      <w:r>
        <w:t>KI’et</w:t>
      </w:r>
      <w:proofErr w:type="spellEnd"/>
      <w:r>
        <w:t xml:space="preserve"> kan oprette et eller flere T2S</w:t>
      </w:r>
      <w:r w:rsidR="008F7CD8">
        <w:t>-</w:t>
      </w:r>
      <w:r>
        <w:t>depoter som omnibusdepoter, og lade grupper af VP</w:t>
      </w:r>
      <w:r w:rsidR="008F7CD8">
        <w:t>-</w:t>
      </w:r>
      <w:r>
        <w:t xml:space="preserve">depoter (gruppen er defineret af </w:t>
      </w:r>
      <w:proofErr w:type="spellStart"/>
      <w:r>
        <w:t>KI’et</w:t>
      </w:r>
      <w:proofErr w:type="spellEnd"/>
      <w:r>
        <w:t xml:space="preserve"> selv), ”pege op mod” et af disse T2S</w:t>
      </w:r>
      <w:r w:rsidR="008F7CD8">
        <w:t>-</w:t>
      </w:r>
      <w:r>
        <w:t>depoter. Det skal ske via et VP</w:t>
      </w:r>
      <w:r w:rsidR="008F7CD8">
        <w:t>-</w:t>
      </w:r>
      <w:r>
        <w:t xml:space="preserve">omnibusdepot, hvis </w:t>
      </w:r>
      <w:proofErr w:type="spellStart"/>
      <w:r>
        <w:lastRenderedPageBreak/>
        <w:t>KI’et</w:t>
      </w:r>
      <w:proofErr w:type="spellEnd"/>
      <w:r>
        <w:t xml:space="preserve"> ønsker at anvende panteret.</w:t>
      </w:r>
      <w:r>
        <w:rPr>
          <w:rStyle w:val="Fodnotehenvisning"/>
        </w:rPr>
        <w:footnoteReference w:id="5"/>
      </w:r>
      <w:r>
        <w:t xml:space="preserve"> </w:t>
      </w:r>
      <w:r w:rsidRPr="00B02576">
        <w:rPr>
          <w:b/>
        </w:rPr>
        <w:t>Eksempel:</w:t>
      </w:r>
      <w:r>
        <w:t xml:space="preserve">  Kunden har oprettet segregeret VP</w:t>
      </w:r>
      <w:r w:rsidR="008F7CD8">
        <w:t>-</w:t>
      </w:r>
      <w:r>
        <w:t>depot, som ”peger op mod” VP</w:t>
      </w:r>
      <w:r w:rsidR="008F7CD8">
        <w:t>-</w:t>
      </w:r>
      <w:r>
        <w:t>depot (omnibus depot), der ”peger op mod” T2S</w:t>
      </w:r>
      <w:r w:rsidR="008F7CD8">
        <w:t>-</w:t>
      </w:r>
      <w:r>
        <w:t>depot (omnibus depot). Kunden har segregeret VP</w:t>
      </w:r>
      <w:r w:rsidR="008F7CD8">
        <w:t>-</w:t>
      </w:r>
      <w:r>
        <w:t xml:space="preserve">depot og konto </w:t>
      </w:r>
      <w:r w:rsidRPr="00063F73">
        <w:t xml:space="preserve">i </w:t>
      </w:r>
      <w:r>
        <w:t>b</w:t>
      </w:r>
      <w:r w:rsidRPr="00063F73">
        <w:t>ank Y, men vælger at hand</w:t>
      </w:r>
      <w:r>
        <w:t>le med b</w:t>
      </w:r>
      <w:r w:rsidRPr="00063F73">
        <w:t>ank Z</w:t>
      </w:r>
      <w:r>
        <w:t xml:space="preserve"> eller bank </w:t>
      </w:r>
      <w:proofErr w:type="spellStart"/>
      <w:r>
        <w:t>Z’s</w:t>
      </w:r>
      <w:proofErr w:type="spellEnd"/>
      <w:r>
        <w:t xml:space="preserve"> kunde. Afvikling sker i T2S mellem bank Y’s T2S</w:t>
      </w:r>
      <w:r w:rsidR="00F70EB5">
        <w:t>-</w:t>
      </w:r>
      <w:r>
        <w:t xml:space="preserve">depot (omnibus på vegne kunder) og bank </w:t>
      </w:r>
      <w:proofErr w:type="spellStart"/>
      <w:r>
        <w:t>Z’s</w:t>
      </w:r>
      <w:proofErr w:type="spellEnd"/>
      <w:r>
        <w:t xml:space="preserve"> T2S</w:t>
      </w:r>
      <w:r w:rsidR="00F70EB5">
        <w:t>-</w:t>
      </w:r>
      <w:r>
        <w:t xml:space="preserve">depot, jf. </w:t>
      </w:r>
      <w:r w:rsidRPr="00527EC6">
        <w:fldChar w:fldCharType="begin"/>
      </w:r>
      <w:r w:rsidRPr="00527EC6">
        <w:instrText xml:space="preserve"> REF _Ref506989603 \h  \* MERGEFORMAT </w:instrText>
      </w:r>
      <w:r w:rsidRPr="00527EC6">
        <w:fldChar w:fldCharType="separate"/>
      </w:r>
      <w:r w:rsidR="00F70EB5">
        <w:t>f</w:t>
      </w:r>
      <w:r w:rsidR="00AF369A" w:rsidRPr="00AF369A">
        <w:t xml:space="preserve">igur </w:t>
      </w:r>
      <w:r w:rsidR="00AF369A" w:rsidRPr="00AF369A">
        <w:rPr>
          <w:noProof/>
        </w:rPr>
        <w:t>2</w:t>
      </w:r>
      <w:r w:rsidRPr="00527EC6">
        <w:fldChar w:fldCharType="end"/>
      </w:r>
      <w:r w:rsidR="00AF369A">
        <w:t xml:space="preserve"> </w:t>
      </w:r>
      <w:r w:rsidR="004E2ED8" w:rsidRPr="004E2ED8">
        <w:t>og</w:t>
      </w:r>
      <w:r w:rsidR="00AF369A" w:rsidRPr="004E2ED8">
        <w:t xml:space="preserve"> </w:t>
      </w:r>
      <w:r w:rsidR="0010139C" w:rsidRPr="004E2ED8">
        <w:fldChar w:fldCharType="begin"/>
      </w:r>
      <w:r w:rsidR="0010139C" w:rsidRPr="004E2ED8">
        <w:instrText xml:space="preserve"> REF _Ref524342575 \h </w:instrText>
      </w:r>
      <w:r w:rsidR="004E2ED8" w:rsidRPr="004E2ED8">
        <w:instrText xml:space="preserve"> \* MERGEFORMAT </w:instrText>
      </w:r>
      <w:r w:rsidR="0010139C" w:rsidRPr="004E2ED8">
        <w:fldChar w:fldCharType="separate"/>
      </w:r>
      <w:r w:rsidR="00F70EB5">
        <w:t>f</w:t>
      </w:r>
      <w:r w:rsidR="0010139C" w:rsidRPr="004E2ED8">
        <w:t xml:space="preserve">igur </w:t>
      </w:r>
      <w:r w:rsidR="0010139C" w:rsidRPr="004E2ED8">
        <w:rPr>
          <w:noProof/>
        </w:rPr>
        <w:t>3</w:t>
      </w:r>
      <w:r w:rsidR="0010139C" w:rsidRPr="004E2ED8">
        <w:fldChar w:fldCharType="end"/>
      </w:r>
      <w:r w:rsidRPr="00527EC6">
        <w:t xml:space="preserve"> </w:t>
      </w:r>
      <w:r>
        <w:t>i bilag 4.</w:t>
      </w:r>
    </w:p>
    <w:p w14:paraId="539D37B4" w14:textId="77777777" w:rsidR="00A32C77" w:rsidRDefault="00A32C77" w:rsidP="00A32C77">
      <w:pPr>
        <w:pStyle w:val="Listeafsnit"/>
      </w:pPr>
    </w:p>
    <w:p w14:paraId="516EC384" w14:textId="2C4B5050" w:rsidR="00A32C77" w:rsidRDefault="00A32C77" w:rsidP="00A32C77">
      <w:r>
        <w:t>Anvendelsen af begrebet ”T2S professionel”, som har været anvendt i overgangsløsningen (12. september 2016 – 29. oktober 2018) forsvinder efter 29. oktober 2018. Herefter skelnes der således ikke længere mellem, om kunden er en ”detailkunde” eller ”T2S</w:t>
      </w:r>
      <w:r w:rsidR="00F70EB5">
        <w:t xml:space="preserve"> </w:t>
      </w:r>
      <w:r>
        <w:t>professionel”. Ovenstående scenarier for afvikling af tredjemandshandler med værdipapirer i DKK og EUR finder således anvendelse på alle tredjemandshandler.</w:t>
      </w:r>
    </w:p>
    <w:p w14:paraId="214F719A" w14:textId="77777777" w:rsidR="00A32C77" w:rsidRDefault="00A32C77" w:rsidP="00A32C77">
      <w:pPr>
        <w:rPr>
          <w:b/>
        </w:rPr>
      </w:pPr>
    </w:p>
    <w:p w14:paraId="7FC5E1D4" w14:textId="77777777" w:rsidR="00A32C77" w:rsidRPr="00170828" w:rsidRDefault="00A32C77" w:rsidP="00672870">
      <w:pPr>
        <w:pStyle w:val="Overskrift3"/>
        <w:numPr>
          <w:ilvl w:val="1"/>
          <w:numId w:val="21"/>
        </w:numPr>
        <w:tabs>
          <w:tab w:val="clear" w:pos="284"/>
        </w:tabs>
      </w:pPr>
      <w:bookmarkStart w:id="14" w:name="_Toc506975923"/>
      <w:bookmarkStart w:id="15" w:name="_Toc506990515"/>
      <w:bookmarkStart w:id="16" w:name="_Toc506992201"/>
      <w:bookmarkStart w:id="17" w:name="_Toc507143940"/>
      <w:bookmarkStart w:id="18" w:name="_Toc507154528"/>
      <w:bookmarkStart w:id="19" w:name="_Toc524351837"/>
      <w:bookmarkEnd w:id="14"/>
      <w:bookmarkEnd w:id="15"/>
      <w:bookmarkEnd w:id="16"/>
      <w:bookmarkEnd w:id="17"/>
      <w:bookmarkEnd w:id="18"/>
      <w:r w:rsidRPr="00170828">
        <w:t>Markedspraksis for afvikling af tredjemandshandler via VP</w:t>
      </w:r>
      <w:bookmarkEnd w:id="19"/>
      <w:r w:rsidRPr="00170828">
        <w:br/>
      </w:r>
    </w:p>
    <w:p w14:paraId="65758DC1" w14:textId="77777777" w:rsidR="00A32C77" w:rsidRPr="00540BC7" w:rsidRDefault="00A32C77" w:rsidP="00A32C77">
      <w:pPr>
        <w:rPr>
          <w:b/>
        </w:rPr>
      </w:pPr>
      <w:r w:rsidRPr="00540BC7">
        <w:rPr>
          <w:b/>
        </w:rPr>
        <w:t>Model a</w:t>
      </w:r>
    </w:p>
    <w:p w14:paraId="69CC1C2C" w14:textId="62E59B75" w:rsidR="00A32C77" w:rsidRPr="00C12C6B" w:rsidRDefault="00A32C77" w:rsidP="00A32C77">
      <w:r>
        <w:t xml:space="preserve">Markedspraksis skal anvendes, når der ikke er tale om T2S </w:t>
      </w:r>
      <w:proofErr w:type="spellStart"/>
      <w:r>
        <w:t>eligible</w:t>
      </w:r>
      <w:proofErr w:type="spellEnd"/>
      <w:r w:rsidR="00F70EB5">
        <w:t>-</w:t>
      </w:r>
      <w:r>
        <w:t>papirer (eksempelvis Skagen Fondene) eller hvis betalingsstiller og depotbank ikke er identiske. Det kan f.eks. være t</w:t>
      </w:r>
      <w:r w:rsidRPr="00C12C6B">
        <w:t>ransaktioner</w:t>
      </w:r>
      <w:r w:rsidR="00F70EB5">
        <w:t>,</w:t>
      </w:r>
      <w:r w:rsidRPr="00C12C6B">
        <w:t xml:space="preserve"> hvo</w:t>
      </w:r>
      <w:r>
        <w:t>r en af parterne bruger ét KI (b</w:t>
      </w:r>
      <w:r w:rsidRPr="00C12C6B">
        <w:t>ank Y) som depotbank, et andet KI</w:t>
      </w:r>
      <w:r>
        <w:t xml:space="preserve"> (b</w:t>
      </w:r>
      <w:r w:rsidRPr="00C12C6B">
        <w:t>ank X) som betalingsstille</w:t>
      </w:r>
      <w:r>
        <w:t>r og handler med et tredje KI (b</w:t>
      </w:r>
      <w:r w:rsidRPr="00C12C6B">
        <w:t xml:space="preserve">ank Z) skal afvikles via VP, selvom afviklingen sker DVP i centralbankpenge. </w:t>
      </w:r>
      <w:proofErr w:type="spellStart"/>
      <w:r w:rsidRPr="00C12C6B">
        <w:t>Preadvice</w:t>
      </w:r>
      <w:proofErr w:type="spellEnd"/>
      <w:r w:rsidRPr="00C12C6B">
        <w:t xml:space="preserve"> dannes på baggrund af frigivelse/instruktion, jf. </w:t>
      </w:r>
      <w:r w:rsidRPr="007F5E1C">
        <w:fldChar w:fldCharType="begin"/>
      </w:r>
      <w:r w:rsidRPr="007F5E1C">
        <w:instrText xml:space="preserve"> REF _Ref508194738 \h  \* MERGEFORMAT </w:instrText>
      </w:r>
      <w:r w:rsidRPr="007F5E1C">
        <w:fldChar w:fldCharType="separate"/>
      </w:r>
      <w:r w:rsidR="00F70EB5">
        <w:t>f</w:t>
      </w:r>
      <w:r w:rsidR="003C7268" w:rsidRPr="003C7268">
        <w:t xml:space="preserve">igur </w:t>
      </w:r>
      <w:r w:rsidR="003C7268" w:rsidRPr="003C7268">
        <w:rPr>
          <w:noProof/>
        </w:rPr>
        <w:t>4</w:t>
      </w:r>
      <w:r w:rsidRPr="007F5E1C">
        <w:fldChar w:fldCharType="end"/>
      </w:r>
      <w:r w:rsidR="00587B0C">
        <w:t xml:space="preserve"> i</w:t>
      </w:r>
      <w:r>
        <w:t xml:space="preserve"> bilag 4</w:t>
      </w:r>
      <w:r w:rsidRPr="00C12C6B">
        <w:t>.</w:t>
      </w:r>
    </w:p>
    <w:p w14:paraId="5661B5E0" w14:textId="77777777" w:rsidR="00A32C77" w:rsidRPr="00E7624A" w:rsidRDefault="00A32C77" w:rsidP="00A32C77">
      <w:pPr>
        <w:spacing w:line="240" w:lineRule="auto"/>
        <w:jc w:val="both"/>
        <w:rPr>
          <w:sz w:val="24"/>
          <w:szCs w:val="24"/>
        </w:rPr>
      </w:pPr>
    </w:p>
    <w:p w14:paraId="7D8B2FCF" w14:textId="77777777" w:rsidR="00A32C77" w:rsidRPr="00375DFB" w:rsidRDefault="00A32C77" w:rsidP="00A32C77">
      <w:pPr>
        <w:rPr>
          <w:b/>
        </w:rPr>
      </w:pPr>
      <w:r w:rsidRPr="00375DFB">
        <w:rPr>
          <w:b/>
        </w:rPr>
        <w:t>Model b</w:t>
      </w:r>
    </w:p>
    <w:p w14:paraId="5FB60571" w14:textId="40ABDFF7" w:rsidR="00A32C77" w:rsidRDefault="00A32C77" w:rsidP="00A32C77">
      <w:r w:rsidRPr="00E7624A">
        <w:t>Transaktioner, der er indgået mellem to parter, hvor den ene part (</w:t>
      </w:r>
      <w:r>
        <w:t>b</w:t>
      </w:r>
      <w:r w:rsidRPr="00E7624A">
        <w:t xml:space="preserve">ank Z) har VP handelsfuldmagt til den anden parts </w:t>
      </w:r>
      <w:r>
        <w:t>depot (som føres af b</w:t>
      </w:r>
      <w:r w:rsidRPr="00E7624A">
        <w:t xml:space="preserve">ank Y), skal afvikles via VP, selvom afviklingen sker DVP i centralbankpenge. </w:t>
      </w:r>
      <w:proofErr w:type="spellStart"/>
      <w:r w:rsidRPr="00E7624A">
        <w:t>Preadvice</w:t>
      </w:r>
      <w:proofErr w:type="spellEnd"/>
      <w:r w:rsidRPr="00E7624A">
        <w:t xml:space="preserve"> dannes på baggrund af frigivelse/instru</w:t>
      </w:r>
      <w:r>
        <w:t xml:space="preserve">ktion, jf. </w:t>
      </w:r>
      <w:r w:rsidRPr="00915895">
        <w:fldChar w:fldCharType="begin"/>
      </w:r>
      <w:r w:rsidRPr="00915895">
        <w:instrText xml:space="preserve"> REF _Ref506989353 \h  \* MERGEFORMAT </w:instrText>
      </w:r>
      <w:r w:rsidRPr="00915895">
        <w:fldChar w:fldCharType="separate"/>
      </w:r>
      <w:r w:rsidR="00F70EB5">
        <w:t>f</w:t>
      </w:r>
      <w:r w:rsidR="003C7268" w:rsidRPr="003C7268">
        <w:t xml:space="preserve">igur </w:t>
      </w:r>
      <w:r w:rsidR="003C7268" w:rsidRPr="003C7268">
        <w:rPr>
          <w:noProof/>
        </w:rPr>
        <w:t>5</w:t>
      </w:r>
      <w:r w:rsidRPr="00915895">
        <w:fldChar w:fldCharType="end"/>
      </w:r>
      <w:r>
        <w:t xml:space="preserve"> i bilag 4</w:t>
      </w:r>
      <w:r w:rsidRPr="00E7624A">
        <w:t>.</w:t>
      </w:r>
    </w:p>
    <w:p w14:paraId="64FBB9F5" w14:textId="77777777" w:rsidR="00A32C77" w:rsidRDefault="00A32C77" w:rsidP="00A32C77">
      <w:pPr>
        <w:rPr>
          <w:b/>
        </w:rPr>
      </w:pPr>
    </w:p>
    <w:p w14:paraId="2819DA26" w14:textId="77777777" w:rsidR="00A32C77" w:rsidRPr="00375DFB" w:rsidRDefault="00A32C77" w:rsidP="00A32C77">
      <w:pPr>
        <w:rPr>
          <w:b/>
        </w:rPr>
      </w:pPr>
      <w:r w:rsidRPr="00375DFB">
        <w:rPr>
          <w:b/>
        </w:rPr>
        <w:t>Model c</w:t>
      </w:r>
    </w:p>
    <w:p w14:paraId="02D2BE19" w14:textId="70B3FAEA" w:rsidR="00A32C77" w:rsidRPr="00181BC5" w:rsidRDefault="00A32C77" w:rsidP="00A32C77">
      <w:r w:rsidRPr="001200F8">
        <w:t xml:space="preserve">Transaktioner, hvor den ene part (kunden) har depot hos og handler med </w:t>
      </w:r>
      <w:r>
        <w:t>b</w:t>
      </w:r>
      <w:r w:rsidRPr="001200F8">
        <w:t>ank Z - og har konto hos bank Y – skal afvikles via VP, selvom afviklingen sker DVP i centralbankpenge.</w:t>
      </w:r>
      <w:r>
        <w:t xml:space="preserve"> </w:t>
      </w:r>
      <w:proofErr w:type="spellStart"/>
      <w:r w:rsidRPr="00E7624A">
        <w:t>Preadvice</w:t>
      </w:r>
      <w:proofErr w:type="spellEnd"/>
      <w:r w:rsidRPr="00E7624A">
        <w:t xml:space="preserve"> dannes på baggrund af frigivelse/instruktion, jf. </w:t>
      </w:r>
      <w:r w:rsidRPr="00915895">
        <w:fldChar w:fldCharType="begin"/>
      </w:r>
      <w:r w:rsidRPr="00915895">
        <w:instrText xml:space="preserve"> REF _Ref506989456 \h  \* MERGEFORMAT </w:instrText>
      </w:r>
      <w:r w:rsidRPr="00915895">
        <w:fldChar w:fldCharType="separate"/>
      </w:r>
      <w:r w:rsidR="00F70EB5">
        <w:t>f</w:t>
      </w:r>
      <w:r w:rsidR="003C7268" w:rsidRPr="003C7268">
        <w:t xml:space="preserve">igur </w:t>
      </w:r>
      <w:r w:rsidR="003C7268" w:rsidRPr="003C7268">
        <w:rPr>
          <w:noProof/>
        </w:rPr>
        <w:t>6</w:t>
      </w:r>
      <w:r w:rsidRPr="00915895">
        <w:fldChar w:fldCharType="end"/>
      </w:r>
      <w:r>
        <w:t xml:space="preserve"> i bilag 4</w:t>
      </w:r>
      <w:r w:rsidRPr="00E7624A">
        <w:t xml:space="preserve">. </w:t>
      </w:r>
    </w:p>
    <w:p w14:paraId="69D373D6" w14:textId="77777777" w:rsidR="00A32C77" w:rsidRPr="009055A6" w:rsidRDefault="00A32C77" w:rsidP="00A32C77"/>
    <w:p w14:paraId="700FBFC5" w14:textId="77777777" w:rsidR="00A32C77" w:rsidRDefault="00A32C77" w:rsidP="00A32C77"/>
    <w:p w14:paraId="273CD00B" w14:textId="1D3894D9" w:rsidR="00A32C77" w:rsidRPr="00875D2D" w:rsidRDefault="00A32C77" w:rsidP="00A32C77">
      <w:r w:rsidRPr="00875D2D">
        <w:t>Markedspraksissen er udformet med henblik på at søge 5</w:t>
      </w:r>
      <w:r>
        <w:t xml:space="preserve"> </w:t>
      </w:r>
      <w:proofErr w:type="spellStart"/>
      <w:r>
        <w:t>pct.</w:t>
      </w:r>
      <w:r w:rsidR="00F70EB5">
        <w:t>-</w:t>
      </w:r>
      <w:r w:rsidRPr="00875D2D">
        <w:t>grænsen</w:t>
      </w:r>
      <w:proofErr w:type="spellEnd"/>
      <w:r w:rsidRPr="00875D2D">
        <w:t xml:space="preserve"> overholdt. Efterlevelse af derogationsreglen afhænger af den enkelte markedsdeltagers afvikling.</w:t>
      </w:r>
    </w:p>
    <w:p w14:paraId="630609FD" w14:textId="77777777" w:rsidR="00A32C77" w:rsidRPr="00875D2D" w:rsidRDefault="00A32C77" w:rsidP="00A32C77"/>
    <w:p w14:paraId="79BA2080" w14:textId="7FE207D7" w:rsidR="00A32C77" w:rsidRPr="00875D2D" w:rsidRDefault="00A32C77" w:rsidP="00A32C77">
      <w:r w:rsidRPr="00875D2D">
        <w:t>Afvikling via VP sker via VP</w:t>
      </w:r>
      <w:r w:rsidR="00F70EB5">
        <w:t>-</w:t>
      </w:r>
      <w:r w:rsidRPr="00875D2D">
        <w:t>depoter, herunder de depoter, der allerede i dag er oprettet i VP, og som efter 29. oktober 2018 alene er tilgængelige for afvikling via VP.</w:t>
      </w:r>
    </w:p>
    <w:p w14:paraId="747DB66C" w14:textId="77777777" w:rsidR="00A32C77" w:rsidRPr="00875D2D" w:rsidRDefault="00A32C77" w:rsidP="00A32C77"/>
    <w:p w14:paraId="15CC4B0B" w14:textId="77777777" w:rsidR="00A32C77" w:rsidRDefault="00A32C77" w:rsidP="00A32C77">
      <w:r w:rsidRPr="00875D2D">
        <w:t xml:space="preserve">For matchkriterier og nødvendige oplysninger ved afvikling af tredjemandshandler via VP ved benyttelse af derogationsreglen, </w:t>
      </w:r>
      <w:r w:rsidRPr="00875D2D">
        <w:rPr>
          <w:b/>
        </w:rPr>
        <w:t>se kapitel 3</w:t>
      </w:r>
      <w:r w:rsidRPr="00875D2D">
        <w:t>.</w:t>
      </w:r>
    </w:p>
    <w:p w14:paraId="59679792" w14:textId="77777777" w:rsidR="00A32C77" w:rsidRDefault="00A32C77" w:rsidP="00A32C77"/>
    <w:p w14:paraId="762EAD2E" w14:textId="77777777" w:rsidR="00A32C77" w:rsidRPr="00181BC5" w:rsidRDefault="00A32C77" w:rsidP="00A32C77">
      <w:pPr>
        <w:spacing w:line="240" w:lineRule="auto"/>
        <w:rPr>
          <w:b/>
          <w:sz w:val="24"/>
        </w:rPr>
      </w:pPr>
      <w:r w:rsidRPr="00181BC5">
        <w:br w:type="page"/>
      </w:r>
    </w:p>
    <w:p w14:paraId="77B6A230" w14:textId="77777777" w:rsidR="00A32C77" w:rsidRDefault="00A32C77" w:rsidP="00672870">
      <w:pPr>
        <w:pStyle w:val="Overskrift1"/>
        <w:numPr>
          <w:ilvl w:val="0"/>
          <w:numId w:val="14"/>
        </w:numPr>
        <w:tabs>
          <w:tab w:val="clear" w:pos="284"/>
        </w:tabs>
        <w:rPr>
          <w:b/>
        </w:rPr>
      </w:pPr>
      <w:bookmarkStart w:id="20" w:name="_Toc524351838"/>
      <w:r w:rsidRPr="00AD0EC3">
        <w:rPr>
          <w:b/>
        </w:rPr>
        <w:lastRenderedPageBreak/>
        <w:t>Matchkriterier og nødvendige oplysninger</w:t>
      </w:r>
      <w:bookmarkEnd w:id="20"/>
    </w:p>
    <w:p w14:paraId="3478FB9B" w14:textId="77777777" w:rsidR="00A32C77" w:rsidRPr="00E36CCC" w:rsidRDefault="00A32C77" w:rsidP="00A32C77"/>
    <w:p w14:paraId="20594001" w14:textId="77777777" w:rsidR="00A32C77" w:rsidRPr="0031039A" w:rsidRDefault="00A32C77" w:rsidP="00672870">
      <w:pPr>
        <w:pStyle w:val="Listeafsnit"/>
        <w:keepNext/>
        <w:keepLines/>
        <w:numPr>
          <w:ilvl w:val="0"/>
          <w:numId w:val="21"/>
        </w:numPr>
        <w:tabs>
          <w:tab w:val="clear" w:pos="284"/>
        </w:tabs>
        <w:spacing w:after="90" w:line="240" w:lineRule="auto"/>
        <w:outlineLvl w:val="2"/>
        <w:rPr>
          <w:b/>
          <w:vanish/>
        </w:rPr>
      </w:pPr>
      <w:bookmarkStart w:id="21" w:name="_Toc506975928"/>
      <w:bookmarkStart w:id="22" w:name="_Toc506990520"/>
      <w:bookmarkStart w:id="23" w:name="_Toc506992206"/>
      <w:bookmarkStart w:id="24" w:name="_Toc507143945"/>
      <w:bookmarkStart w:id="25" w:name="_Toc507154533"/>
      <w:bookmarkStart w:id="26" w:name="_Toc514940947"/>
      <w:bookmarkStart w:id="27" w:name="_Toc515283867"/>
      <w:bookmarkStart w:id="28" w:name="_Toc524351839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AF91FE9" w14:textId="77777777" w:rsidR="00A32C77" w:rsidRPr="0031039A" w:rsidRDefault="00A32C77" w:rsidP="00672870">
      <w:pPr>
        <w:pStyle w:val="Overskrift3"/>
        <w:numPr>
          <w:ilvl w:val="1"/>
          <w:numId w:val="21"/>
        </w:numPr>
        <w:tabs>
          <w:tab w:val="clear" w:pos="284"/>
        </w:tabs>
      </w:pPr>
      <w:bookmarkStart w:id="29" w:name="_Toc524351840"/>
      <w:r w:rsidRPr="0031039A">
        <w:t>Matchkriterier for afvikling via VP (anvendelse af derogationsreglen)</w:t>
      </w:r>
      <w:bookmarkEnd w:id="29"/>
    </w:p>
    <w:p w14:paraId="6249F44D" w14:textId="03F2620E" w:rsidR="00A32C77" w:rsidRDefault="00A32C77" w:rsidP="00A32C77">
      <w:r>
        <w:t>Når b</w:t>
      </w:r>
      <w:r w:rsidRPr="00961915">
        <w:t xml:space="preserve">ank Z danner et </w:t>
      </w:r>
      <w:proofErr w:type="spellStart"/>
      <w:r w:rsidRPr="00961915">
        <w:t>preadvice</w:t>
      </w:r>
      <w:proofErr w:type="spellEnd"/>
      <w:r w:rsidRPr="00961915">
        <w:t>, skal kunden i Party 1 identificeres med Y’s KI/BIC + kundens BIC – har kunden ikke egen BIC skal kundens VP</w:t>
      </w:r>
      <w:r w:rsidR="00ED3706">
        <w:t>-</w:t>
      </w:r>
      <w:r w:rsidRPr="00961915">
        <w:t xml:space="preserve">depot i bank Y angives. </w:t>
      </w:r>
      <w:proofErr w:type="spellStart"/>
      <w:r w:rsidRPr="00961915">
        <w:t>Preadvicet</w:t>
      </w:r>
      <w:proofErr w:type="spellEnd"/>
      <w:r w:rsidRPr="00961915">
        <w:t xml:space="preserve"> er FH-PR. Bank Y skal matche dette </w:t>
      </w:r>
      <w:proofErr w:type="spellStart"/>
      <w:r w:rsidRPr="00961915">
        <w:t>preadvice</w:t>
      </w:r>
      <w:proofErr w:type="spellEnd"/>
      <w:r w:rsidRPr="00961915">
        <w:t>.</w:t>
      </w:r>
    </w:p>
    <w:p w14:paraId="4A2E12D3" w14:textId="77777777" w:rsidR="00A32C77" w:rsidRDefault="00A32C77" w:rsidP="00A32C77"/>
    <w:p w14:paraId="64951539" w14:textId="77777777" w:rsidR="00A32C77" w:rsidRDefault="00A32C77" w:rsidP="00A32C77">
      <w:r>
        <w:t xml:space="preserve">Se også </w:t>
      </w:r>
      <w:r w:rsidRPr="00863F4E">
        <w:rPr>
          <w:b/>
        </w:rPr>
        <w:t>vedlagte</w:t>
      </w:r>
      <w:r>
        <w:t xml:space="preserve"> instruktioner i </w:t>
      </w:r>
      <w:r w:rsidRPr="00863F4E">
        <w:rPr>
          <w:b/>
        </w:rPr>
        <w:t>bilag 1</w:t>
      </w:r>
      <w:r>
        <w:t xml:space="preserve"> for eksemplificering af VP match.</w:t>
      </w:r>
    </w:p>
    <w:p w14:paraId="465C0D1D" w14:textId="77777777" w:rsidR="00A32C77" w:rsidRDefault="00A32C77" w:rsidP="00A32C77">
      <w:pPr>
        <w:rPr>
          <w:b/>
          <w:bCs/>
        </w:rPr>
      </w:pPr>
    </w:p>
    <w:p w14:paraId="546FF078" w14:textId="77777777" w:rsidR="00A32C77" w:rsidRPr="0031039A" w:rsidRDefault="00A32C77" w:rsidP="00672870">
      <w:pPr>
        <w:pStyle w:val="Overskrift3"/>
        <w:numPr>
          <w:ilvl w:val="1"/>
          <w:numId w:val="21"/>
        </w:numPr>
        <w:tabs>
          <w:tab w:val="clear" w:pos="284"/>
        </w:tabs>
      </w:pPr>
      <w:bookmarkStart w:id="30" w:name="_Toc524351841"/>
      <w:r w:rsidRPr="0031039A">
        <w:t>Matchkriterier for afvikling via T2S</w:t>
      </w:r>
      <w:bookmarkEnd w:id="30"/>
    </w:p>
    <w:p w14:paraId="65690AC0" w14:textId="77777777" w:rsidR="00A32C77" w:rsidRPr="00961915" w:rsidRDefault="00A32C77" w:rsidP="00A32C77">
      <w:pPr>
        <w:rPr>
          <w:i/>
        </w:rPr>
      </w:pPr>
      <w:r w:rsidRPr="00961915">
        <w:rPr>
          <w:i/>
        </w:rPr>
        <w:t>1:1 modellen</w:t>
      </w:r>
    </w:p>
    <w:p w14:paraId="09CE5BD1" w14:textId="15D92527" w:rsidR="00A32C77" w:rsidRPr="00961915" w:rsidRDefault="00A32C77" w:rsidP="00A32C77">
      <w:r>
        <w:t>Når b</w:t>
      </w:r>
      <w:r w:rsidRPr="00961915">
        <w:t xml:space="preserve">ank Z danner et </w:t>
      </w:r>
      <w:proofErr w:type="spellStart"/>
      <w:r w:rsidRPr="00961915">
        <w:t>preadvice</w:t>
      </w:r>
      <w:proofErr w:type="spellEnd"/>
      <w:r w:rsidRPr="00961915">
        <w:t>, skal kunden i Party 1 identificeres med Y’s KI/BIC + kundens BIC – har kunden ikke egen BIC</w:t>
      </w:r>
      <w:r w:rsidR="00ED3706">
        <w:t>,</w:t>
      </w:r>
      <w:r w:rsidRPr="00961915">
        <w:t xml:space="preserve"> skal kundens T2S</w:t>
      </w:r>
      <w:r w:rsidR="00ED3706">
        <w:t>-</w:t>
      </w:r>
      <w:r w:rsidRPr="00961915">
        <w:t xml:space="preserve">depot i bank Y angives. </w:t>
      </w:r>
      <w:proofErr w:type="spellStart"/>
      <w:r w:rsidRPr="00961915">
        <w:t>Preadvicet</w:t>
      </w:r>
      <w:proofErr w:type="spellEnd"/>
      <w:r w:rsidRPr="00961915">
        <w:t xml:space="preserve"> er FH-PR. Bank Y skal matche dette </w:t>
      </w:r>
      <w:proofErr w:type="spellStart"/>
      <w:r w:rsidRPr="00961915">
        <w:t>preadvice</w:t>
      </w:r>
      <w:proofErr w:type="spellEnd"/>
      <w:r w:rsidRPr="00961915">
        <w:t>.</w:t>
      </w:r>
    </w:p>
    <w:p w14:paraId="4CA52243" w14:textId="77777777" w:rsidR="00A32C77" w:rsidRPr="00961915" w:rsidRDefault="00A32C77" w:rsidP="00A32C77">
      <w:pPr>
        <w:rPr>
          <w:i/>
        </w:rPr>
      </w:pPr>
    </w:p>
    <w:p w14:paraId="76204D29" w14:textId="77777777" w:rsidR="00A32C77" w:rsidRPr="00961915" w:rsidRDefault="00A32C77" w:rsidP="00A32C77">
      <w:pPr>
        <w:rPr>
          <w:i/>
        </w:rPr>
      </w:pPr>
      <w:r w:rsidRPr="00961915">
        <w:rPr>
          <w:i/>
        </w:rPr>
        <w:t>Omnibusmodellen</w:t>
      </w:r>
    </w:p>
    <w:p w14:paraId="503D2284" w14:textId="4330C4AD" w:rsidR="00A32C77" w:rsidRPr="00961915" w:rsidRDefault="00A32C77" w:rsidP="00A32C77">
      <w:r>
        <w:t>Når b</w:t>
      </w:r>
      <w:r w:rsidRPr="00961915">
        <w:t xml:space="preserve">ank Z danner et </w:t>
      </w:r>
      <w:proofErr w:type="spellStart"/>
      <w:r w:rsidRPr="00961915">
        <w:t>preadvice</w:t>
      </w:r>
      <w:proofErr w:type="spellEnd"/>
      <w:r w:rsidRPr="00961915">
        <w:t xml:space="preserve"> skal der i Party 1</w:t>
      </w:r>
      <w:r>
        <w:t xml:space="preserve"> </w:t>
      </w:r>
      <w:r w:rsidRPr="00961915">
        <w:t xml:space="preserve">instrueres mod </w:t>
      </w:r>
      <w:r>
        <w:t>b</w:t>
      </w:r>
      <w:r w:rsidRPr="00961915">
        <w:t>ank Y’s KI/BIC.</w:t>
      </w:r>
      <w:r>
        <w:t xml:space="preserve"> </w:t>
      </w:r>
      <w:r w:rsidRPr="00961915">
        <w:t>I Party 2-feltet (</w:t>
      </w:r>
      <w:proofErr w:type="spellStart"/>
      <w:r w:rsidRPr="00961915">
        <w:t>receiving</w:t>
      </w:r>
      <w:proofErr w:type="spellEnd"/>
      <w:r w:rsidRPr="00961915">
        <w:t>)/ SUB-IDENT-NUMMER skrives kundens (i prioriteret rækkefølge) enten 1) BIC eller 2) KI og VP</w:t>
      </w:r>
      <w:r w:rsidR="00ED3706">
        <w:t>-</w:t>
      </w:r>
      <w:r w:rsidRPr="00961915">
        <w:t>depotnummer.</w:t>
      </w:r>
    </w:p>
    <w:p w14:paraId="54620F46" w14:textId="77777777" w:rsidR="00A32C77" w:rsidRPr="0044146A" w:rsidRDefault="00A32C77" w:rsidP="00A32C77"/>
    <w:p w14:paraId="50F0CACB" w14:textId="77777777" w:rsidR="00A32C77" w:rsidRPr="00961915" w:rsidRDefault="00A32C77" w:rsidP="00A32C77">
      <w:r w:rsidRPr="00FD3063">
        <w:rPr>
          <w:lang w:val="en-US"/>
        </w:rPr>
        <w:t xml:space="preserve">Bank Y </w:t>
      </w:r>
      <w:proofErr w:type="spellStart"/>
      <w:r w:rsidRPr="00FD3063">
        <w:rPr>
          <w:lang w:val="en-US"/>
        </w:rPr>
        <w:t>skal</w:t>
      </w:r>
      <w:proofErr w:type="spellEnd"/>
      <w:r w:rsidRPr="00FD3063">
        <w:rPr>
          <w:lang w:val="en-US"/>
        </w:rPr>
        <w:t xml:space="preserve"> </w:t>
      </w:r>
      <w:proofErr w:type="spellStart"/>
      <w:r w:rsidRPr="00FD3063">
        <w:rPr>
          <w:lang w:val="en-US"/>
        </w:rPr>
        <w:t>matche</w:t>
      </w:r>
      <w:proofErr w:type="spellEnd"/>
      <w:r w:rsidRPr="00FD3063">
        <w:rPr>
          <w:lang w:val="en-US"/>
        </w:rPr>
        <w:t xml:space="preserve"> </w:t>
      </w:r>
      <w:proofErr w:type="spellStart"/>
      <w:r w:rsidRPr="00FD3063">
        <w:rPr>
          <w:lang w:val="en-US"/>
        </w:rPr>
        <w:t>dette</w:t>
      </w:r>
      <w:proofErr w:type="spellEnd"/>
      <w:r w:rsidRPr="00FD3063">
        <w:rPr>
          <w:lang w:val="en-US"/>
        </w:rPr>
        <w:t xml:space="preserve"> </w:t>
      </w:r>
      <w:proofErr w:type="spellStart"/>
      <w:r w:rsidRPr="00FD3063">
        <w:rPr>
          <w:lang w:val="en-US"/>
        </w:rPr>
        <w:t>preadvice</w:t>
      </w:r>
      <w:proofErr w:type="spellEnd"/>
      <w:r w:rsidRPr="00FD3063">
        <w:rPr>
          <w:lang w:val="en-US"/>
        </w:rPr>
        <w:t xml:space="preserve"> (</w:t>
      </w:r>
      <w:proofErr w:type="spellStart"/>
      <w:r w:rsidRPr="00FD3063">
        <w:rPr>
          <w:lang w:val="en-US"/>
        </w:rPr>
        <w:t>feltet</w:t>
      </w:r>
      <w:proofErr w:type="spellEnd"/>
      <w:r w:rsidRPr="00FD3063">
        <w:rPr>
          <w:lang w:val="en-US"/>
        </w:rPr>
        <w:t xml:space="preserve"> PART. </w:t>
      </w:r>
      <w:r w:rsidRPr="00961915">
        <w:t>SUB ID NR. udfyldes). Herud</w:t>
      </w:r>
      <w:r>
        <w:t>over skal b</w:t>
      </w:r>
      <w:r w:rsidRPr="00961915">
        <w:t>ank Y enten:</w:t>
      </w:r>
    </w:p>
    <w:p w14:paraId="40A0A9D5" w14:textId="14B704F2" w:rsidR="00A32C77" w:rsidRPr="00961915" w:rsidRDefault="00A32C77" w:rsidP="00672870">
      <w:pPr>
        <w:numPr>
          <w:ilvl w:val="0"/>
          <w:numId w:val="13"/>
        </w:numPr>
        <w:tabs>
          <w:tab w:val="clear" w:pos="284"/>
        </w:tabs>
      </w:pPr>
      <w:r w:rsidRPr="00961915">
        <w:t>danne flyt mellem Omnibus T2S-depotet og Omnibus VP-depotet, samt generere en afviklingstransaktion mod kunden i VP (DVP eller FOP). Her skal en e</w:t>
      </w:r>
      <w:r w:rsidR="00ED3706">
        <w:t>ventuel</w:t>
      </w:r>
      <w:r w:rsidRPr="00961915">
        <w:t xml:space="preserve"> aftalt navnenotering også tilføjes (</w:t>
      </w:r>
      <w:r>
        <w:t>da den ikke længere kommer fra b</w:t>
      </w:r>
      <w:r w:rsidRPr="00961915">
        <w:t xml:space="preserve">ank </w:t>
      </w:r>
      <w:proofErr w:type="spellStart"/>
      <w:r w:rsidRPr="00961915">
        <w:t>Z’s</w:t>
      </w:r>
      <w:proofErr w:type="spellEnd"/>
      <w:r w:rsidRPr="00961915">
        <w:t xml:space="preserve"> instruktion).</w:t>
      </w:r>
    </w:p>
    <w:p w14:paraId="6EA03348" w14:textId="6077C3C3" w:rsidR="00A32C77" w:rsidRPr="00961915" w:rsidRDefault="00A32C77" w:rsidP="00672870">
      <w:pPr>
        <w:numPr>
          <w:ilvl w:val="0"/>
          <w:numId w:val="13"/>
        </w:numPr>
        <w:tabs>
          <w:tab w:val="clear" w:pos="284"/>
        </w:tabs>
      </w:pPr>
      <w:r w:rsidRPr="00961915">
        <w:t>eller danne flyt mellem Omnibus T2S-depotet og kundens depot i VP. Her skal en ev</w:t>
      </w:r>
      <w:r w:rsidR="00ED3706">
        <w:t>entuel</w:t>
      </w:r>
      <w:r w:rsidRPr="00961915">
        <w:t xml:space="preserve"> aftalt navnenotering også tilføjes (da den ikke længere kommer fra </w:t>
      </w:r>
      <w:r>
        <w:t>b</w:t>
      </w:r>
      <w:r w:rsidRPr="00961915">
        <w:t xml:space="preserve">ank </w:t>
      </w:r>
      <w:proofErr w:type="spellStart"/>
      <w:r w:rsidRPr="00961915">
        <w:t>Z’s</w:t>
      </w:r>
      <w:proofErr w:type="spellEnd"/>
      <w:r w:rsidRPr="00961915">
        <w:t xml:space="preserve"> instruktion).</w:t>
      </w:r>
    </w:p>
    <w:p w14:paraId="12DC485F" w14:textId="77777777" w:rsidR="00A32C77" w:rsidRDefault="00A32C77" w:rsidP="00A32C77"/>
    <w:p w14:paraId="27D117B1" w14:textId="77777777" w:rsidR="00A32C77" w:rsidRDefault="00A32C77" w:rsidP="00A32C77">
      <w:r>
        <w:t xml:space="preserve">Se også </w:t>
      </w:r>
      <w:r w:rsidRPr="00863F4E">
        <w:rPr>
          <w:b/>
        </w:rPr>
        <w:t>vedlagte</w:t>
      </w:r>
      <w:r>
        <w:t xml:space="preserve"> instruktioner i </w:t>
      </w:r>
      <w:r w:rsidRPr="00863F4E">
        <w:rPr>
          <w:b/>
        </w:rPr>
        <w:t>bilag 1</w:t>
      </w:r>
      <w:r>
        <w:t xml:space="preserve"> for eksemplificering af T2S match. </w:t>
      </w:r>
    </w:p>
    <w:p w14:paraId="1B86971A" w14:textId="77777777" w:rsidR="00A32C77" w:rsidRPr="00961915" w:rsidRDefault="00A32C77" w:rsidP="00A32C77"/>
    <w:p w14:paraId="155F83F5" w14:textId="77777777" w:rsidR="00A32C77" w:rsidRDefault="00A32C77" w:rsidP="00A32C77"/>
    <w:p w14:paraId="0C561ABC" w14:textId="77777777" w:rsidR="00A32C77" w:rsidRDefault="00A32C77" w:rsidP="00A32C77">
      <w:pPr>
        <w:jc w:val="both"/>
      </w:pPr>
    </w:p>
    <w:p w14:paraId="5E4C51C5" w14:textId="77777777" w:rsidR="00A32C77" w:rsidRDefault="00A32C77" w:rsidP="00A32C77">
      <w:pPr>
        <w:spacing w:line="240" w:lineRule="auto"/>
        <w:rPr>
          <w:b/>
          <w:sz w:val="36"/>
        </w:rPr>
      </w:pPr>
      <w:r>
        <w:rPr>
          <w:b/>
        </w:rPr>
        <w:br w:type="page"/>
      </w:r>
    </w:p>
    <w:p w14:paraId="30E9EA9A" w14:textId="77777777" w:rsidR="00A32C77" w:rsidRDefault="00A32C77" w:rsidP="00A32C77">
      <w:pPr>
        <w:pStyle w:val="Overskrift1"/>
        <w:rPr>
          <w:b/>
        </w:rPr>
      </w:pPr>
      <w:bookmarkStart w:id="31" w:name="_Toc524351842"/>
      <w:r w:rsidRPr="00AD0EC3">
        <w:rPr>
          <w:b/>
        </w:rPr>
        <w:lastRenderedPageBreak/>
        <w:t>Bilag</w:t>
      </w:r>
      <w:bookmarkEnd w:id="31"/>
    </w:p>
    <w:p w14:paraId="18D9EF56" w14:textId="77777777" w:rsidR="00A32C77" w:rsidRDefault="00A32C77" w:rsidP="00A32C77">
      <w:pPr>
        <w:pStyle w:val="Overskrift2"/>
      </w:pPr>
      <w:bookmarkStart w:id="32" w:name="_Toc524351843"/>
      <w:r>
        <w:t>Bilag 1: Instruktioner for VP og T2S</w:t>
      </w:r>
      <w:bookmarkEnd w:id="32"/>
    </w:p>
    <w:p w14:paraId="7BBF8477" w14:textId="77777777" w:rsidR="00A32C77" w:rsidRDefault="00A32C77" w:rsidP="00A32C77"/>
    <w:p w14:paraId="7D49BB58" w14:textId="77777777" w:rsidR="00A32C77" w:rsidRPr="000C53B7" w:rsidRDefault="00A32C77" w:rsidP="00A32C77">
      <w:pPr>
        <w:rPr>
          <w:b/>
        </w:rPr>
      </w:pPr>
      <w:r w:rsidRPr="000C53B7">
        <w:rPr>
          <w:b/>
        </w:rPr>
        <w:t>Instruktioner i proprietærformat</w:t>
      </w:r>
    </w:p>
    <w:p w14:paraId="10A51163" w14:textId="77777777" w:rsidR="00A32C77" w:rsidRDefault="00A32C77" w:rsidP="00A32C77">
      <w:r>
        <w:t>Formatet på MODPART-SUB-IDENT på instruktioner der skal via ”kommissionsmodellen” – Tredjepartshandler</w:t>
      </w:r>
    </w:p>
    <w:p w14:paraId="2798C487" w14:textId="77777777" w:rsidR="00A32C77" w:rsidRPr="00961915" w:rsidRDefault="00A32C77" w:rsidP="00A32C77"/>
    <w:p w14:paraId="2AB84669" w14:textId="77777777" w:rsidR="00A32C77" w:rsidRDefault="00A32C77" w:rsidP="00672870">
      <w:pPr>
        <w:pStyle w:val="Listeafsnit"/>
        <w:numPr>
          <w:ilvl w:val="0"/>
          <w:numId w:val="23"/>
        </w:numPr>
        <w:tabs>
          <w:tab w:val="clear" w:pos="284"/>
        </w:tabs>
        <w:spacing w:after="240"/>
      </w:pPr>
      <w:r>
        <w:t>Tredjepart er identificeret i bank Z med sit VP-</w:t>
      </w:r>
      <w:proofErr w:type="spellStart"/>
      <w:r>
        <w:t>kontonr</w:t>
      </w:r>
      <w:proofErr w:type="spellEnd"/>
      <w: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655"/>
        <w:gridCol w:w="3650"/>
        <w:gridCol w:w="2011"/>
      </w:tblGrid>
      <w:tr w:rsidR="00A32C77" w14:paraId="55EADD52" w14:textId="77777777" w:rsidTr="00424A8A"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1FC0A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SUB-IDENT-BIC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EF9EE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 xml:space="preserve">PIC </w:t>
            </w:r>
            <w:proofErr w:type="gramStart"/>
            <w:r>
              <w:t>X(</w:t>
            </w:r>
            <w:proofErr w:type="gramEnd"/>
            <w:r>
              <w:t>11)</w:t>
            </w:r>
          </w:p>
        </w:tc>
        <w:tc>
          <w:tcPr>
            <w:tcW w:w="6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E152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Spaces</w:t>
            </w:r>
          </w:p>
        </w:tc>
        <w:tc>
          <w:tcPr>
            <w:tcW w:w="6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FA09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Udfyldes ikke</w:t>
            </w:r>
          </w:p>
        </w:tc>
      </w:tr>
      <w:tr w:rsidR="00A32C77" w14:paraId="4893DEBD" w14:textId="77777777" w:rsidTr="00424A8A"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7984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SUB-IDENT-NUMMER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97EA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 xml:space="preserve">PIC </w:t>
            </w:r>
            <w:proofErr w:type="gramStart"/>
            <w:r>
              <w:t>X(</w:t>
            </w:r>
            <w:proofErr w:type="gramEnd"/>
            <w:r>
              <w:t>35)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D97A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T2S:KI/XXXXXDEP/YYYYYYYYYYYYYYYYY   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05B2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”T2S” – For at kunne kende at det drejer sig om ”kommissionsmodellen”.</w:t>
            </w:r>
          </w:p>
          <w:p w14:paraId="689E587A" w14:textId="77777777" w:rsidR="00A32C77" w:rsidRDefault="00A32C77" w:rsidP="00424A8A">
            <w:r>
              <w:t>XXXXX = KI-</w:t>
            </w:r>
            <w:proofErr w:type="spellStart"/>
            <w:r>
              <w:t>ident</w:t>
            </w:r>
            <w:proofErr w:type="spellEnd"/>
          </w:p>
          <w:p w14:paraId="1DB51FDB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YYYYYYYYYYYYYYYYY = Kundens VP-</w:t>
            </w:r>
            <w:proofErr w:type="spellStart"/>
            <w:r>
              <w:t>kontonr</w:t>
            </w:r>
            <w:proofErr w:type="spellEnd"/>
            <w:r>
              <w:t>.</w:t>
            </w:r>
          </w:p>
        </w:tc>
      </w:tr>
      <w:tr w:rsidR="00A32C77" w14:paraId="0539F1FE" w14:textId="77777777" w:rsidTr="00424A8A"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CBC1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DATA-UDST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95CF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 xml:space="preserve">PIC </w:t>
            </w:r>
            <w:proofErr w:type="gramStart"/>
            <w:r>
              <w:t>X(</w:t>
            </w:r>
            <w:proofErr w:type="gramEnd"/>
            <w:r>
              <w:t>4)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1936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VPDK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525DB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14:paraId="1B054FED" w14:textId="77777777" w:rsidR="00A32C77" w:rsidRDefault="00A32C77" w:rsidP="00A32C77">
      <w:pPr>
        <w:ind w:left="360"/>
      </w:pPr>
      <w:r>
        <w:rPr>
          <w:rFonts w:ascii="Calibri Light" w:hAnsi="Calibri Light"/>
          <w:sz w:val="22"/>
        </w:rPr>
        <w:t> </w:t>
      </w:r>
    </w:p>
    <w:p w14:paraId="35D808D8" w14:textId="77777777" w:rsidR="00A32C77" w:rsidRDefault="00A32C77" w:rsidP="00672870">
      <w:pPr>
        <w:pStyle w:val="Listeafsnit"/>
        <w:numPr>
          <w:ilvl w:val="0"/>
          <w:numId w:val="23"/>
        </w:numPr>
        <w:tabs>
          <w:tab w:val="clear" w:pos="284"/>
        </w:tabs>
        <w:spacing w:after="240"/>
      </w:pPr>
      <w:r>
        <w:t>Tredjepart er identificeret i bank Z med sin BIC-adresse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146"/>
        <w:gridCol w:w="2628"/>
        <w:gridCol w:w="2068"/>
      </w:tblGrid>
      <w:tr w:rsidR="00A32C77" w14:paraId="4ACFA94C" w14:textId="77777777" w:rsidTr="00424A8A"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26D4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SUB-IDENT-BIC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5D1E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 xml:space="preserve">PIC </w:t>
            </w:r>
            <w:proofErr w:type="gramStart"/>
            <w:r>
              <w:t>X(</w:t>
            </w:r>
            <w:proofErr w:type="gramEnd"/>
            <w:r>
              <w:t>11)</w:t>
            </w:r>
          </w:p>
        </w:tc>
        <w:tc>
          <w:tcPr>
            <w:tcW w:w="6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3A65" w14:textId="77777777" w:rsidR="00A32C77" w:rsidRDefault="00A32C77" w:rsidP="00424A8A">
            <w:pPr>
              <w:rPr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D6C9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Udfyldes ikke</w:t>
            </w:r>
          </w:p>
        </w:tc>
      </w:tr>
      <w:tr w:rsidR="00A32C77" w14:paraId="48353DCA" w14:textId="77777777" w:rsidTr="00424A8A"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EB602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SUB-IDENT-NUMMER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25B2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 xml:space="preserve">PIC </w:t>
            </w:r>
            <w:proofErr w:type="gramStart"/>
            <w:r>
              <w:t>X(</w:t>
            </w:r>
            <w:proofErr w:type="gramEnd"/>
            <w:r>
              <w:t>35)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F5A2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T2</w:t>
            </w:r>
            <w:proofErr w:type="gramStart"/>
            <w:r>
              <w:rPr>
                <w:lang w:val="en-US"/>
              </w:rPr>
              <w:t>S:BIC</w:t>
            </w:r>
            <w:proofErr w:type="gramEnd"/>
            <w:r>
              <w:rPr>
                <w:lang w:val="en-US"/>
              </w:rPr>
              <w:t>/ZZZZZZZZZZZ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04C4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”T2S” – For at kunne kende at det drejer sig om ”kommissionsmodellen”.</w:t>
            </w:r>
          </w:p>
          <w:p w14:paraId="120EC6E5" w14:textId="77777777" w:rsidR="00A32C77" w:rsidRDefault="00A32C77" w:rsidP="00424A8A">
            <w:r>
              <w:t>ZZZZZZZZZZZ = Kundens BIC</w:t>
            </w:r>
          </w:p>
          <w:p w14:paraId="5BF1040D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32C77" w14:paraId="4D2ACEC7" w14:textId="77777777" w:rsidTr="00424A8A"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4AC5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DATA-UDST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3FFB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 xml:space="preserve">PIC </w:t>
            </w:r>
            <w:proofErr w:type="gramStart"/>
            <w:r>
              <w:t>X(</w:t>
            </w:r>
            <w:proofErr w:type="gramEnd"/>
            <w:r>
              <w:t>4)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66E9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VPDK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D39B" w14:textId="77777777" w:rsidR="00A32C77" w:rsidRDefault="00A32C77" w:rsidP="00424A8A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14:paraId="7E4B9097" w14:textId="77777777" w:rsidR="00A32C77" w:rsidRDefault="00A32C77" w:rsidP="00A32C77">
      <w:pPr>
        <w:ind w:left="360"/>
      </w:pPr>
      <w:r>
        <w:rPr>
          <w:rFonts w:ascii="Calibri Light" w:hAnsi="Calibri Light"/>
          <w:sz w:val="22"/>
        </w:rPr>
        <w:t> </w:t>
      </w:r>
    </w:p>
    <w:p w14:paraId="33F6EB11" w14:textId="77777777" w:rsidR="00A32C77" w:rsidRDefault="00A32C77" w:rsidP="00A32C77">
      <w:pPr>
        <w:rPr>
          <w:b/>
        </w:rPr>
      </w:pPr>
    </w:p>
    <w:p w14:paraId="22A4A88B" w14:textId="77777777" w:rsidR="00A32C77" w:rsidRDefault="00A32C77" w:rsidP="00A32C77">
      <w:pPr>
        <w:spacing w:line="240" w:lineRule="auto"/>
        <w:rPr>
          <w:b/>
        </w:rPr>
      </w:pPr>
      <w:r>
        <w:rPr>
          <w:b/>
        </w:rPr>
        <w:br w:type="page"/>
      </w:r>
    </w:p>
    <w:p w14:paraId="21E2AD45" w14:textId="77777777" w:rsidR="00A32C77" w:rsidRDefault="00A32C77" w:rsidP="00A32C77">
      <w:r w:rsidRPr="000C53B7">
        <w:rPr>
          <w:b/>
        </w:rPr>
        <w:lastRenderedPageBreak/>
        <w:t xml:space="preserve">Instruktioner i </w:t>
      </w:r>
      <w:proofErr w:type="gramStart"/>
      <w:r w:rsidRPr="000C53B7">
        <w:rPr>
          <w:b/>
        </w:rPr>
        <w:t>ISO format</w:t>
      </w:r>
      <w:proofErr w:type="gramEnd"/>
      <w:r w:rsidRPr="000C53B7">
        <w:rPr>
          <w:b/>
        </w:rPr>
        <w:br/>
      </w:r>
    </w:p>
    <w:p w14:paraId="101E0291" w14:textId="77777777" w:rsidR="00A32C77" w:rsidRPr="00545DD9" w:rsidRDefault="00A32C77" w:rsidP="00672870">
      <w:pPr>
        <w:pStyle w:val="Listeafsnit"/>
        <w:numPr>
          <w:ilvl w:val="0"/>
          <w:numId w:val="24"/>
        </w:numPr>
        <w:tabs>
          <w:tab w:val="clear" w:pos="284"/>
        </w:tabs>
        <w:spacing w:after="240"/>
      </w:pPr>
      <w:r w:rsidRPr="00545DD9">
        <w:t>Tredjepart er identificeret i bank Z, med sit VP-</w:t>
      </w:r>
      <w:proofErr w:type="spellStart"/>
      <w:r w:rsidRPr="00545DD9">
        <w:t>kontonr</w:t>
      </w:r>
      <w:proofErr w:type="spellEnd"/>
      <w:r w:rsidRPr="00545DD9">
        <w:t>.</w:t>
      </w:r>
    </w:p>
    <w:p w14:paraId="58D4E517" w14:textId="77777777" w:rsidR="006976FE" w:rsidRPr="00C85425" w:rsidRDefault="006976FE" w:rsidP="00B028C6">
      <w:r w:rsidRPr="00C85425">
        <w:t>&lt;Pty2&gt;</w:t>
      </w:r>
    </w:p>
    <w:p w14:paraId="7A658057" w14:textId="77777777" w:rsidR="006976FE" w:rsidRPr="00C85425" w:rsidRDefault="006976FE" w:rsidP="00B028C6">
      <w:r w:rsidRPr="00C85425">
        <w:t>&lt;Id&gt;</w:t>
      </w:r>
    </w:p>
    <w:p w14:paraId="22F97368" w14:textId="77777777" w:rsidR="006976FE" w:rsidRPr="00C85425" w:rsidRDefault="006976FE" w:rsidP="00B028C6">
      <w:r w:rsidRPr="00C85425">
        <w:t>&lt;</w:t>
      </w:r>
      <w:proofErr w:type="spellStart"/>
      <w:r w:rsidRPr="00C85425">
        <w:t>PrtryId</w:t>
      </w:r>
      <w:proofErr w:type="spellEnd"/>
      <w:r w:rsidRPr="00C85425">
        <w:t>&gt;</w:t>
      </w:r>
    </w:p>
    <w:p w14:paraId="56CD228A" w14:textId="77777777" w:rsidR="006976FE" w:rsidRPr="00C85425" w:rsidRDefault="006976FE" w:rsidP="00B028C6">
      <w:r w:rsidRPr="00C85425">
        <w:t xml:space="preserve">  &lt;Id&gt;T2S:KI/XXXXXDEP/ YYYYYYYYYYYYYYYYY &lt;/Id&gt; </w:t>
      </w:r>
    </w:p>
    <w:p w14:paraId="16B2E619" w14:textId="77777777" w:rsidR="006976FE" w:rsidRPr="00C85425" w:rsidRDefault="006976FE" w:rsidP="00B028C6">
      <w:pPr>
        <w:rPr>
          <w:lang w:val="en-GB"/>
        </w:rPr>
      </w:pPr>
      <w:r w:rsidRPr="00C85425">
        <w:t>  </w:t>
      </w:r>
      <w:r w:rsidRPr="00C85425">
        <w:rPr>
          <w:lang w:val="en-GB"/>
        </w:rPr>
        <w:t>&lt;</w:t>
      </w:r>
      <w:proofErr w:type="spellStart"/>
      <w:r w:rsidRPr="00C85425">
        <w:rPr>
          <w:lang w:val="en-GB"/>
        </w:rPr>
        <w:t>Issr</w:t>
      </w:r>
      <w:proofErr w:type="spellEnd"/>
      <w:r w:rsidRPr="00C85425">
        <w:rPr>
          <w:lang w:val="en-GB"/>
        </w:rPr>
        <w:t>&gt;VPDK&lt;/</w:t>
      </w:r>
      <w:proofErr w:type="spellStart"/>
      <w:r w:rsidRPr="00C85425">
        <w:rPr>
          <w:lang w:val="en-GB"/>
        </w:rPr>
        <w:t>Issr</w:t>
      </w:r>
      <w:proofErr w:type="spellEnd"/>
      <w:r w:rsidRPr="00C85425">
        <w:rPr>
          <w:lang w:val="en-GB"/>
        </w:rPr>
        <w:t xml:space="preserve">&gt; </w:t>
      </w:r>
    </w:p>
    <w:p w14:paraId="6831F804" w14:textId="77777777" w:rsidR="006976FE" w:rsidRPr="00C85425" w:rsidRDefault="006976FE" w:rsidP="00B028C6">
      <w:pPr>
        <w:rPr>
          <w:lang w:val="en-GB"/>
        </w:rPr>
      </w:pPr>
      <w:r w:rsidRPr="00C85425">
        <w:rPr>
          <w:lang w:val="en-GB"/>
        </w:rPr>
        <w:t>  &lt;/</w:t>
      </w:r>
      <w:proofErr w:type="spellStart"/>
      <w:r w:rsidRPr="00C85425">
        <w:rPr>
          <w:lang w:val="en-GB"/>
        </w:rPr>
        <w:t>PrtryId</w:t>
      </w:r>
      <w:proofErr w:type="spellEnd"/>
      <w:r w:rsidRPr="00C85425">
        <w:rPr>
          <w:lang w:val="en-GB"/>
        </w:rPr>
        <w:t>&gt;</w:t>
      </w:r>
    </w:p>
    <w:p w14:paraId="60048E5D" w14:textId="77777777" w:rsidR="006976FE" w:rsidRPr="00C85425" w:rsidRDefault="006976FE" w:rsidP="00B028C6">
      <w:pPr>
        <w:rPr>
          <w:lang w:val="en-GB"/>
        </w:rPr>
      </w:pPr>
      <w:r w:rsidRPr="00C85425">
        <w:rPr>
          <w:lang w:val="en-GB"/>
        </w:rPr>
        <w:t>  &lt;/Id&gt;</w:t>
      </w:r>
    </w:p>
    <w:p w14:paraId="29D6689E" w14:textId="77777777" w:rsidR="006976FE" w:rsidRPr="00C85425" w:rsidRDefault="006976FE" w:rsidP="00B028C6">
      <w:pPr>
        <w:rPr>
          <w:lang w:val="en-GB"/>
        </w:rPr>
      </w:pPr>
      <w:r w:rsidRPr="00C85425">
        <w:rPr>
          <w:lang w:val="en-GB"/>
        </w:rPr>
        <w:t>  &lt;/Pty2&gt;</w:t>
      </w:r>
    </w:p>
    <w:p w14:paraId="34748064" w14:textId="77777777" w:rsidR="00A32C77" w:rsidRPr="000C53B7" w:rsidRDefault="00A32C77" w:rsidP="00A32C77">
      <w:pPr>
        <w:rPr>
          <w:b/>
        </w:rPr>
      </w:pPr>
    </w:p>
    <w:p w14:paraId="746E58C9" w14:textId="77777777" w:rsidR="00A32C77" w:rsidRDefault="00A32C77" w:rsidP="00672870">
      <w:pPr>
        <w:pStyle w:val="Listeafsnit"/>
        <w:numPr>
          <w:ilvl w:val="0"/>
          <w:numId w:val="24"/>
        </w:numPr>
        <w:tabs>
          <w:tab w:val="clear" w:pos="284"/>
        </w:tabs>
        <w:spacing w:after="240"/>
      </w:pPr>
      <w:r>
        <w:t>Tredjepart er identificeret i bank Z med sin BIC-adresse</w:t>
      </w:r>
    </w:p>
    <w:p w14:paraId="78F3B8D5" w14:textId="77777777" w:rsidR="006976FE" w:rsidRPr="00C85425" w:rsidRDefault="006976FE" w:rsidP="006976FE">
      <w:pPr>
        <w:rPr>
          <w:lang w:val="en-GB"/>
        </w:rPr>
      </w:pPr>
      <w:r w:rsidRPr="00C85425">
        <w:rPr>
          <w:lang w:val="en-GB"/>
        </w:rPr>
        <w:t>&lt;Pty2&gt;</w:t>
      </w:r>
    </w:p>
    <w:p w14:paraId="3906BD37" w14:textId="77777777" w:rsidR="006976FE" w:rsidRPr="00C85425" w:rsidRDefault="006976FE" w:rsidP="006976FE">
      <w:pPr>
        <w:rPr>
          <w:lang w:val="en-GB"/>
        </w:rPr>
      </w:pPr>
      <w:r w:rsidRPr="00C85425">
        <w:rPr>
          <w:lang w:val="en-GB"/>
        </w:rPr>
        <w:t>&lt;Id&gt;</w:t>
      </w:r>
    </w:p>
    <w:p w14:paraId="5295A7F1" w14:textId="77777777" w:rsidR="006976FE" w:rsidRPr="00C85425" w:rsidRDefault="006976FE" w:rsidP="006976FE">
      <w:pPr>
        <w:rPr>
          <w:lang w:val="en-GB"/>
        </w:rPr>
      </w:pPr>
      <w:r w:rsidRPr="00C85425">
        <w:rPr>
          <w:lang w:val="en-GB"/>
        </w:rPr>
        <w:t>&lt;</w:t>
      </w:r>
      <w:proofErr w:type="spellStart"/>
      <w:r w:rsidRPr="00C85425">
        <w:rPr>
          <w:lang w:val="en-GB"/>
        </w:rPr>
        <w:t>PrtryId</w:t>
      </w:r>
      <w:proofErr w:type="spellEnd"/>
      <w:r w:rsidRPr="00C85425">
        <w:rPr>
          <w:lang w:val="en-GB"/>
        </w:rPr>
        <w:t>&gt;</w:t>
      </w:r>
    </w:p>
    <w:p w14:paraId="5258B4E5" w14:textId="77777777" w:rsidR="006976FE" w:rsidRPr="00C85425" w:rsidRDefault="006976FE" w:rsidP="006976FE">
      <w:pPr>
        <w:rPr>
          <w:lang w:val="en-GB"/>
        </w:rPr>
      </w:pPr>
      <w:r w:rsidRPr="00C85425">
        <w:rPr>
          <w:lang w:val="en-GB"/>
        </w:rPr>
        <w:t>&lt;Id&gt;T2</w:t>
      </w:r>
      <w:proofErr w:type="gramStart"/>
      <w:r w:rsidRPr="00C85425">
        <w:rPr>
          <w:lang w:val="en-GB"/>
        </w:rPr>
        <w:t>S:BIC</w:t>
      </w:r>
      <w:proofErr w:type="gramEnd"/>
      <w:r w:rsidRPr="00C85425">
        <w:rPr>
          <w:lang w:val="en-GB"/>
        </w:rPr>
        <w:t xml:space="preserve">/ ZZZZZZZZZZZ &lt;/Id&gt; </w:t>
      </w:r>
    </w:p>
    <w:p w14:paraId="3020A80F" w14:textId="77777777" w:rsidR="006976FE" w:rsidRPr="00C85425" w:rsidRDefault="006976FE" w:rsidP="006976FE">
      <w:pPr>
        <w:rPr>
          <w:lang w:val="en-GB"/>
        </w:rPr>
      </w:pPr>
      <w:r w:rsidRPr="00C85425">
        <w:rPr>
          <w:lang w:val="en-GB"/>
        </w:rPr>
        <w:t>  &lt;</w:t>
      </w:r>
      <w:proofErr w:type="spellStart"/>
      <w:r w:rsidRPr="00C85425">
        <w:rPr>
          <w:lang w:val="en-GB"/>
        </w:rPr>
        <w:t>Issr</w:t>
      </w:r>
      <w:proofErr w:type="spellEnd"/>
      <w:r w:rsidRPr="00C85425">
        <w:rPr>
          <w:lang w:val="en-GB"/>
        </w:rPr>
        <w:t>&gt;VPDK&lt;/</w:t>
      </w:r>
      <w:proofErr w:type="spellStart"/>
      <w:r w:rsidRPr="00C85425">
        <w:rPr>
          <w:lang w:val="en-GB"/>
        </w:rPr>
        <w:t>Issr</w:t>
      </w:r>
      <w:proofErr w:type="spellEnd"/>
      <w:r w:rsidRPr="00C85425">
        <w:rPr>
          <w:lang w:val="en-GB"/>
        </w:rPr>
        <w:t xml:space="preserve">&gt; </w:t>
      </w:r>
    </w:p>
    <w:p w14:paraId="6FDC0C61" w14:textId="77777777" w:rsidR="006976FE" w:rsidRPr="00C85425" w:rsidRDefault="006976FE" w:rsidP="006976FE">
      <w:pPr>
        <w:rPr>
          <w:lang w:val="en-GB"/>
        </w:rPr>
      </w:pPr>
      <w:r w:rsidRPr="00C85425">
        <w:rPr>
          <w:lang w:val="en-GB"/>
        </w:rPr>
        <w:t>  &lt;/</w:t>
      </w:r>
      <w:proofErr w:type="spellStart"/>
      <w:r w:rsidRPr="00C85425">
        <w:rPr>
          <w:lang w:val="en-GB"/>
        </w:rPr>
        <w:t>PrtryId</w:t>
      </w:r>
      <w:proofErr w:type="spellEnd"/>
      <w:r w:rsidRPr="00C85425">
        <w:rPr>
          <w:lang w:val="en-GB"/>
        </w:rPr>
        <w:t>&gt;</w:t>
      </w:r>
    </w:p>
    <w:p w14:paraId="67D3E9A2" w14:textId="77777777" w:rsidR="006976FE" w:rsidRPr="00C85425" w:rsidRDefault="006976FE" w:rsidP="006976FE">
      <w:pPr>
        <w:rPr>
          <w:lang w:val="en-GB"/>
        </w:rPr>
      </w:pPr>
      <w:r w:rsidRPr="00C85425">
        <w:rPr>
          <w:lang w:val="en-GB"/>
        </w:rPr>
        <w:t>  &lt;/Id&gt;</w:t>
      </w:r>
    </w:p>
    <w:p w14:paraId="47B6EA8E" w14:textId="77777777" w:rsidR="006976FE" w:rsidRPr="00C85425" w:rsidRDefault="006976FE" w:rsidP="006976FE">
      <w:r w:rsidRPr="00C85425">
        <w:rPr>
          <w:lang w:val="en-GB"/>
        </w:rPr>
        <w:t xml:space="preserve">  </w:t>
      </w:r>
      <w:r w:rsidRPr="00C85425">
        <w:t>&lt;/Pty2&gt;</w:t>
      </w:r>
    </w:p>
    <w:p w14:paraId="349C645C" w14:textId="77777777" w:rsidR="00A32C77" w:rsidRDefault="00A32C77" w:rsidP="00A32C77">
      <w:pPr>
        <w:spacing w:line="240" w:lineRule="auto"/>
      </w:pPr>
      <w:r>
        <w:br w:type="page"/>
      </w:r>
    </w:p>
    <w:p w14:paraId="6EC2DD09" w14:textId="77777777" w:rsidR="00A32C77" w:rsidRPr="00F234C3" w:rsidRDefault="00A32C77" w:rsidP="00A32C77">
      <w:pPr>
        <w:pStyle w:val="Overskrift2"/>
      </w:pPr>
      <w:bookmarkStart w:id="33" w:name="_Toc524351844"/>
      <w:r>
        <w:lastRenderedPageBreak/>
        <w:t xml:space="preserve">Bilag 2: </w:t>
      </w:r>
      <w:bookmarkStart w:id="34" w:name="_Toc506375875"/>
      <w:bookmarkStart w:id="35" w:name="_Toc506376158"/>
      <w:bookmarkStart w:id="36" w:name="_Toc506376379"/>
      <w:bookmarkStart w:id="37" w:name="_Toc506376477"/>
      <w:bookmarkStart w:id="38" w:name="_Toc506375876"/>
      <w:bookmarkStart w:id="39" w:name="_Toc506376159"/>
      <w:bookmarkStart w:id="40" w:name="_Toc506376380"/>
      <w:bookmarkStart w:id="41" w:name="_Toc506376478"/>
      <w:bookmarkStart w:id="42" w:name="_Toc506375877"/>
      <w:bookmarkStart w:id="43" w:name="_Toc506376160"/>
      <w:bookmarkStart w:id="44" w:name="_Toc506376381"/>
      <w:bookmarkStart w:id="45" w:name="_Toc506376479"/>
      <w:bookmarkStart w:id="46" w:name="_Toc506375878"/>
      <w:bookmarkStart w:id="47" w:name="_Toc506376161"/>
      <w:bookmarkStart w:id="48" w:name="_Toc506376382"/>
      <w:bookmarkStart w:id="49" w:name="_Toc506376480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F234C3">
        <w:t>Depotstrukturen i VP efter 29. oktober 2018</w:t>
      </w:r>
      <w:bookmarkEnd w:id="4"/>
      <w:bookmarkEnd w:id="33"/>
    </w:p>
    <w:p w14:paraId="44A68447" w14:textId="77777777" w:rsidR="00A32C77" w:rsidRDefault="00A32C77" w:rsidP="00A32C77"/>
    <w:p w14:paraId="432D61BF" w14:textId="6B4DF452" w:rsidR="00A32C77" w:rsidRDefault="00A32C77" w:rsidP="00A32C77">
      <w:r>
        <w:t>Efter 29. oktober 2018 kan et VP</w:t>
      </w:r>
      <w:r w:rsidR="003B5FE1">
        <w:t>-</w:t>
      </w:r>
      <w:r>
        <w:t>markeret depot kun benyttes i VP</w:t>
      </w:r>
      <w:r w:rsidR="003B5FE1">
        <w:t>,</w:t>
      </w:r>
      <w:r>
        <w:t xml:space="preserve"> og T2S</w:t>
      </w:r>
      <w:r w:rsidR="003B5FE1">
        <w:t>-</w:t>
      </w:r>
      <w:r>
        <w:t xml:space="preserve">markerede depoter kun anvendes i T2S. Derfor skal hvert </w:t>
      </w:r>
      <w:r w:rsidRPr="00F234C3">
        <w:t>KI</w:t>
      </w:r>
      <w:r>
        <w:t xml:space="preserve"> meddele VP deres ønsker til depotstruktur.</w:t>
      </w:r>
    </w:p>
    <w:p w14:paraId="3F0BC0F1" w14:textId="77777777" w:rsidR="00A32C77" w:rsidRPr="00F234C3" w:rsidRDefault="00A32C77" w:rsidP="00A32C77">
      <w:pPr>
        <w:spacing w:line="300" w:lineRule="exact"/>
        <w:jc w:val="both"/>
        <w:rPr>
          <w:sz w:val="24"/>
          <w:szCs w:val="24"/>
        </w:rPr>
      </w:pPr>
    </w:p>
    <w:p w14:paraId="40F5AE40" w14:textId="43C2A17F" w:rsidR="00A32C77" w:rsidRPr="00F234C3" w:rsidRDefault="00A32C77" w:rsidP="00A32C77">
      <w:pPr>
        <w:pStyle w:val="-"/>
        <w:ind w:left="360"/>
      </w:pPr>
      <w:proofErr w:type="spellStart"/>
      <w:r w:rsidRPr="00F234C3">
        <w:t>KI’et</w:t>
      </w:r>
      <w:proofErr w:type="spellEnd"/>
      <w:r w:rsidRPr="00F234C3">
        <w:t xml:space="preserve"> kan </w:t>
      </w:r>
      <w:r>
        <w:t xml:space="preserve">på egne eller kunders vegne </w:t>
      </w:r>
      <w:r w:rsidRPr="00F234C3">
        <w:t xml:space="preserve">oprette et </w:t>
      </w:r>
      <w:r>
        <w:t>segregeret T2S</w:t>
      </w:r>
      <w:r w:rsidR="003B5FE1">
        <w:t>-</w:t>
      </w:r>
      <w:r w:rsidRPr="00F234C3">
        <w:t>depot</w:t>
      </w:r>
      <w:r>
        <w:t xml:space="preserve"> eventuelt i tillæg til eksisterende VP</w:t>
      </w:r>
      <w:r w:rsidR="003B5FE1">
        <w:t>-</w:t>
      </w:r>
      <w:r>
        <w:t>depot</w:t>
      </w:r>
      <w:r w:rsidRPr="00F234C3">
        <w:t xml:space="preserve"> (</w:t>
      </w:r>
      <w:r w:rsidRPr="00181BC5">
        <w:rPr>
          <w:b/>
        </w:rPr>
        <w:t>1:1 depotstruktur</w:t>
      </w:r>
      <w:r w:rsidRPr="00F234C3">
        <w:t xml:space="preserve">), eller </w:t>
      </w:r>
    </w:p>
    <w:p w14:paraId="2C2A98C7" w14:textId="1981D890" w:rsidR="00A32C77" w:rsidRPr="00F234C3" w:rsidRDefault="00A32C77" w:rsidP="00A32C77">
      <w:pPr>
        <w:pStyle w:val="-"/>
        <w:ind w:left="360"/>
      </w:pPr>
      <w:proofErr w:type="spellStart"/>
      <w:r w:rsidRPr="00F234C3">
        <w:t>KI’et</w:t>
      </w:r>
      <w:proofErr w:type="spellEnd"/>
      <w:r w:rsidRPr="00F234C3">
        <w:t xml:space="preserve"> kan oprette et eller flere </w:t>
      </w:r>
      <w:r>
        <w:t>T2S</w:t>
      </w:r>
      <w:r w:rsidR="003B5FE1">
        <w:t>-</w:t>
      </w:r>
      <w:r>
        <w:t>depoter som omnibusdepoter</w:t>
      </w:r>
      <w:r w:rsidRPr="00F234C3">
        <w:t xml:space="preserve">, og lade grupper af </w:t>
      </w:r>
      <w:r>
        <w:t>VP</w:t>
      </w:r>
      <w:r w:rsidR="003B5FE1">
        <w:t>-</w:t>
      </w:r>
      <w:r w:rsidRPr="00F234C3">
        <w:t xml:space="preserve">depoter (gruppen er defineret af </w:t>
      </w:r>
      <w:proofErr w:type="spellStart"/>
      <w:r w:rsidRPr="00F234C3">
        <w:t>KI’et</w:t>
      </w:r>
      <w:proofErr w:type="spellEnd"/>
      <w:r w:rsidRPr="00F234C3">
        <w:t xml:space="preserve"> selv), ”pege op mod” </w:t>
      </w:r>
      <w:r>
        <w:t>et af disse T2S</w:t>
      </w:r>
      <w:r w:rsidR="003B5FE1">
        <w:t>-</w:t>
      </w:r>
      <w:r>
        <w:t xml:space="preserve">omnibusdepoter – det skal </w:t>
      </w:r>
      <w:r w:rsidRPr="009518DA">
        <w:t>ske via et VP</w:t>
      </w:r>
      <w:r w:rsidR="003B5FE1">
        <w:t>-</w:t>
      </w:r>
      <w:r w:rsidRPr="009518DA">
        <w:t>Omnibusdepot,</w:t>
      </w:r>
      <w:r>
        <w:t xml:space="preserve"> hvis </w:t>
      </w:r>
      <w:proofErr w:type="spellStart"/>
      <w:r>
        <w:t>KI’et</w:t>
      </w:r>
      <w:proofErr w:type="spellEnd"/>
      <w:r>
        <w:t xml:space="preserve"> ønsker at anvende panteret </w:t>
      </w:r>
      <w:r w:rsidRPr="00F234C3">
        <w:t>(</w:t>
      </w:r>
      <w:r w:rsidRPr="00181BC5">
        <w:rPr>
          <w:b/>
        </w:rPr>
        <w:t>omnibus depotstruktur</w:t>
      </w:r>
      <w:r w:rsidRPr="00F234C3">
        <w:t>)</w:t>
      </w:r>
      <w:r w:rsidRPr="000C0450">
        <w:rPr>
          <w:rStyle w:val="Fodnotehenvisning"/>
        </w:rPr>
        <w:footnoteReference w:id="6"/>
      </w:r>
      <w:r w:rsidRPr="00F234C3">
        <w:t>.</w:t>
      </w:r>
    </w:p>
    <w:p w14:paraId="7933E7BA" w14:textId="77777777" w:rsidR="00A32C77" w:rsidRDefault="00A32C77" w:rsidP="00A32C77">
      <w:pPr>
        <w:spacing w:line="300" w:lineRule="exact"/>
        <w:jc w:val="both"/>
        <w:rPr>
          <w:sz w:val="24"/>
          <w:szCs w:val="24"/>
        </w:rPr>
      </w:pPr>
    </w:p>
    <w:p w14:paraId="574DB7D1" w14:textId="43B4985F" w:rsidR="00A32C77" w:rsidRDefault="00A32C77" w:rsidP="00A32C77">
      <w:proofErr w:type="spellStart"/>
      <w:r w:rsidRPr="00F234C3">
        <w:t>KI’erne</w:t>
      </w:r>
      <w:proofErr w:type="spellEnd"/>
      <w:r w:rsidRPr="00F234C3">
        <w:t xml:space="preserve"> kan for hver kunde – og i forhold til opbevaring af </w:t>
      </w:r>
      <w:proofErr w:type="spellStart"/>
      <w:r w:rsidRPr="00F234C3">
        <w:t>egenbeholdning</w:t>
      </w:r>
      <w:proofErr w:type="spellEnd"/>
      <w:r w:rsidRPr="00F234C3">
        <w:t xml:space="preserve"> – vælge, hvilken depotstruktur </w:t>
      </w:r>
      <w:proofErr w:type="spellStart"/>
      <w:r w:rsidRPr="00F234C3">
        <w:t>KI’et</w:t>
      </w:r>
      <w:proofErr w:type="spellEnd"/>
      <w:r w:rsidRPr="00F234C3">
        <w:t xml:space="preserve"> ønsker at etablere. Nogle kunder kan således have en 1:1 depotstruktur – mens andre kunders depoter indgår i en omnibus depotstruktur. For de kunder, som ikke forventes at indgå handler, der skal afvikles via T2S,</w:t>
      </w:r>
      <w:r>
        <w:t xml:space="preserve"> kan der således fortsat </w:t>
      </w:r>
      <w:r w:rsidRPr="00F234C3">
        <w:t xml:space="preserve">opretholdes et eller flere </w:t>
      </w:r>
      <w:r>
        <w:t>VP</w:t>
      </w:r>
      <w:r w:rsidR="003B5FE1">
        <w:t>-</w:t>
      </w:r>
      <w:r w:rsidRPr="00F234C3">
        <w:t>depoter</w:t>
      </w:r>
      <w:r>
        <w:t xml:space="preserve"> uden tilknytning til omnibus- eller andet T2S</w:t>
      </w:r>
      <w:r w:rsidR="003B5FE1">
        <w:t>-</w:t>
      </w:r>
      <w:r>
        <w:t>depot.</w:t>
      </w:r>
    </w:p>
    <w:p w14:paraId="5B91A078" w14:textId="77777777" w:rsidR="00A32C77" w:rsidRPr="00F234C3" w:rsidRDefault="00A32C77" w:rsidP="00A32C77"/>
    <w:p w14:paraId="7CC609BC" w14:textId="421285E2" w:rsidR="00A32C77" w:rsidRDefault="00A32C77" w:rsidP="00A32C77">
      <w:r w:rsidRPr="00F234C3">
        <w:t>Ved benyttelse af 1:1</w:t>
      </w:r>
      <w:r w:rsidR="003B5FE1">
        <w:t>-</w:t>
      </w:r>
      <w:r w:rsidRPr="00F234C3">
        <w:t xml:space="preserve">depotstrukturen skal </w:t>
      </w:r>
      <w:proofErr w:type="spellStart"/>
      <w:r w:rsidRPr="00F234C3">
        <w:t>KI’et</w:t>
      </w:r>
      <w:proofErr w:type="spellEnd"/>
      <w:r w:rsidRPr="00F234C3">
        <w:t xml:space="preserve"> sørge for, at depoterne til afvikling via henholdsvis VP og T2S er oprettet i samme navn (dvs. enten i </w:t>
      </w:r>
      <w:proofErr w:type="spellStart"/>
      <w:r w:rsidRPr="00F234C3">
        <w:t>KI’ets</w:t>
      </w:r>
      <w:proofErr w:type="spellEnd"/>
      <w:r w:rsidRPr="00F234C3">
        <w:t xml:space="preserve"> eller en kundes navn).</w:t>
      </w:r>
    </w:p>
    <w:p w14:paraId="547071F3" w14:textId="77777777" w:rsidR="00A32C77" w:rsidRPr="00F234C3" w:rsidRDefault="00A32C77" w:rsidP="00A32C77"/>
    <w:p w14:paraId="78D04C78" w14:textId="2E6C3978" w:rsidR="00A32C77" w:rsidRDefault="00A32C77" w:rsidP="00A32C77">
      <w:r w:rsidRPr="00F234C3">
        <w:t>Ved benyttelse af omnibus</w:t>
      </w:r>
      <w:r w:rsidR="003B5FE1">
        <w:t>-</w:t>
      </w:r>
      <w:r w:rsidRPr="00F234C3">
        <w:t xml:space="preserve">depotstrukturen ”peger” </w:t>
      </w:r>
      <w:r>
        <w:t>VP</w:t>
      </w:r>
      <w:r w:rsidR="003B5FE1">
        <w:t>-</w:t>
      </w:r>
      <w:r>
        <w:t>depoter, der er oprettet som segregerede d</w:t>
      </w:r>
      <w:r w:rsidRPr="00F234C3">
        <w:t xml:space="preserve">epoter, ”op mod” et </w:t>
      </w:r>
      <w:r>
        <w:t>T2S</w:t>
      </w:r>
      <w:r w:rsidR="003B5FE1">
        <w:t>-</w:t>
      </w:r>
      <w:r>
        <w:t>depot (</w:t>
      </w:r>
      <w:r w:rsidRPr="00F234C3">
        <w:t>omnibusdepot</w:t>
      </w:r>
      <w:r>
        <w:t>)</w:t>
      </w:r>
      <w:r w:rsidRPr="00F234C3">
        <w:t xml:space="preserve">, der er oprettet af </w:t>
      </w:r>
      <w:proofErr w:type="spellStart"/>
      <w:r w:rsidRPr="00F234C3">
        <w:t>KI’et</w:t>
      </w:r>
      <w:proofErr w:type="spellEnd"/>
      <w:r w:rsidRPr="00F234C3">
        <w:t xml:space="preserve"> på vegne </w:t>
      </w:r>
      <w:r>
        <w:t xml:space="preserve">af </w:t>
      </w:r>
      <w:r w:rsidRPr="00F234C3">
        <w:t>kunder</w:t>
      </w:r>
      <w:r>
        <w:rPr>
          <w:rStyle w:val="Fodnotehenvisning"/>
        </w:rPr>
        <w:footnoteReference w:id="7"/>
      </w:r>
      <w:r>
        <w:t>.</w:t>
      </w:r>
    </w:p>
    <w:p w14:paraId="6A128596" w14:textId="77777777" w:rsidR="00A32C77" w:rsidRDefault="00A32C77" w:rsidP="00A32C77"/>
    <w:p w14:paraId="639BBE35" w14:textId="72E6BB1F" w:rsidR="00A32C77" w:rsidRPr="002B6408" w:rsidRDefault="00A32C77" w:rsidP="00A32C77">
      <w:r w:rsidRPr="002B6408">
        <w:t>Panteretten kan af rent tekniske årsager ikke registreres i værdipapirer i forbindelse med DVP</w:t>
      </w:r>
      <w:r w:rsidR="003B5FE1">
        <w:t>-</w:t>
      </w:r>
      <w:r w:rsidRPr="002B6408">
        <w:t>afvikling via T2S. Derfor er omnibus</w:t>
      </w:r>
      <w:r w:rsidR="003B5FE1">
        <w:t>-</w:t>
      </w:r>
      <w:r w:rsidRPr="002B6408">
        <w:t xml:space="preserve">depotstrukturen udbygget med endnu et omnibusdepot, der er tilgængelig for afvikling i VP. Herved kan </w:t>
      </w:r>
      <w:proofErr w:type="spellStart"/>
      <w:r w:rsidRPr="002B6408">
        <w:t>KI’et</w:t>
      </w:r>
      <w:proofErr w:type="spellEnd"/>
      <w:r w:rsidRPr="002B6408">
        <w:t xml:space="preserve"> nemlig etablere panteretten i de omhandlede værdipapirer i forbindelse med en DVP</w:t>
      </w:r>
      <w:r w:rsidR="00596CAD">
        <w:t>-</w:t>
      </w:r>
      <w:r w:rsidRPr="002B6408">
        <w:t>afvikling (flyt) fra omnibusdepotet (tilgængelig for afvikling i VP) til kundens segregerede depot</w:t>
      </w:r>
      <w:r w:rsidRPr="000C0450">
        <w:rPr>
          <w:vertAlign w:val="superscript"/>
        </w:rPr>
        <w:footnoteReference w:id="8"/>
      </w:r>
      <w:r w:rsidRPr="002B6408">
        <w:t>.</w:t>
      </w:r>
    </w:p>
    <w:p w14:paraId="68DCD49D" w14:textId="77777777" w:rsidR="00A32C77" w:rsidRDefault="00A32C77" w:rsidP="00A32C77"/>
    <w:p w14:paraId="7AD5714F" w14:textId="77777777" w:rsidR="00A32C77" w:rsidRDefault="00A32C77" w:rsidP="00A32C77"/>
    <w:p w14:paraId="56457AE2" w14:textId="77777777" w:rsidR="0051204C" w:rsidRDefault="0051204C">
      <w:pPr>
        <w:tabs>
          <w:tab w:val="clear" w:pos="284"/>
        </w:tabs>
        <w:spacing w:line="240" w:lineRule="auto"/>
        <w:rPr>
          <w:b/>
          <w:sz w:val="24"/>
          <w:szCs w:val="20"/>
        </w:rPr>
      </w:pPr>
      <w:bookmarkStart w:id="50" w:name="_Toc487121529"/>
      <w:bookmarkEnd w:id="50"/>
      <w:r>
        <w:br w:type="page"/>
      </w:r>
    </w:p>
    <w:p w14:paraId="6968E194" w14:textId="1800157F" w:rsidR="00A32C77" w:rsidRPr="00F234C3" w:rsidRDefault="00A32C77" w:rsidP="00A32C77">
      <w:pPr>
        <w:pStyle w:val="Overskrift2"/>
      </w:pPr>
      <w:bookmarkStart w:id="51" w:name="_Toc524351845"/>
      <w:r>
        <w:lastRenderedPageBreak/>
        <w:t>Bilag 3: Definitioner</w:t>
      </w:r>
      <w:bookmarkEnd w:id="51"/>
    </w:p>
    <w:p w14:paraId="77A2CA99" w14:textId="77777777" w:rsidR="00A32C77" w:rsidRDefault="00A32C77" w:rsidP="00A32C77"/>
    <w:p w14:paraId="3B4335A3" w14:textId="5AF0C55C" w:rsidR="00A32C77" w:rsidRDefault="00A32C77" w:rsidP="00A32C77">
      <w:r w:rsidRPr="00850484">
        <w:t xml:space="preserve">I </w:t>
      </w:r>
      <w:r>
        <w:t xml:space="preserve">nærværende dokument </w:t>
      </w:r>
      <w:r w:rsidRPr="00850484">
        <w:t>benyttes følgende definitioner:</w:t>
      </w:r>
    </w:p>
    <w:p w14:paraId="1C6D70FA" w14:textId="77777777" w:rsidR="00A32C77" w:rsidRPr="00850484" w:rsidRDefault="00A32C77" w:rsidP="00A32C77"/>
    <w:p w14:paraId="2D93FA97" w14:textId="77777777" w:rsidR="00A32C77" w:rsidRDefault="00A32C77" w:rsidP="00A32C77">
      <w:r w:rsidRPr="00F234C3">
        <w:t>”</w:t>
      </w:r>
      <w:r w:rsidRPr="00F234C3">
        <w:rPr>
          <w:b/>
        </w:rPr>
        <w:t>Transaktion</w:t>
      </w:r>
      <w:r w:rsidRPr="00F234C3">
        <w:t>” betyder</w:t>
      </w:r>
      <w:r>
        <w:t xml:space="preserve"> en værdipapirhandel mellem to parter.</w:t>
      </w:r>
    </w:p>
    <w:p w14:paraId="21014F8B" w14:textId="77777777" w:rsidR="00A32C77" w:rsidRDefault="00A32C77" w:rsidP="00A32C77"/>
    <w:p w14:paraId="4A55556C" w14:textId="6CF054C4" w:rsidR="00A32C77" w:rsidRDefault="00A32C77" w:rsidP="00A32C77">
      <w:r w:rsidRPr="00850484">
        <w:t>”</w:t>
      </w:r>
      <w:r w:rsidRPr="00850484">
        <w:rPr>
          <w:b/>
        </w:rPr>
        <w:t>Afvikling</w:t>
      </w:r>
      <w:r w:rsidRPr="00850484">
        <w:t xml:space="preserve">” </w:t>
      </w:r>
      <w:r w:rsidRPr="001D76F4">
        <w:t xml:space="preserve">betyder </w:t>
      </w:r>
      <w:r w:rsidRPr="001D76F4">
        <w:rPr>
          <w:rStyle w:val="temph"/>
          <w:rFonts w:cs="Arial"/>
          <w:color w:val="222222"/>
        </w:rPr>
        <w:t xml:space="preserve">udveksling af ydelser til opfyldelse af parternes forpligtelser, jf. </w:t>
      </w:r>
      <w:r w:rsidRPr="001D76F4">
        <w:t>VPHL § 50, stk. 2.</w:t>
      </w:r>
    </w:p>
    <w:p w14:paraId="46BAE67A" w14:textId="77777777" w:rsidR="00A32C77" w:rsidRPr="001D76F4" w:rsidRDefault="00A32C77" w:rsidP="00A32C77"/>
    <w:p w14:paraId="0B28B2C9" w14:textId="61D03276" w:rsidR="00A32C77" w:rsidRDefault="00A32C77" w:rsidP="00A32C77">
      <w:r w:rsidRPr="001D76F4">
        <w:t>”</w:t>
      </w:r>
      <w:r w:rsidRPr="001D76F4">
        <w:rPr>
          <w:b/>
        </w:rPr>
        <w:t>Frigivelse</w:t>
      </w:r>
      <w:r w:rsidRPr="001D76F4">
        <w:t>” betyder den</w:t>
      </w:r>
      <w:r>
        <w:t xml:space="preserve"> dannelse af </w:t>
      </w:r>
      <w:proofErr w:type="spellStart"/>
      <w:r>
        <w:t>preadvice</w:t>
      </w:r>
      <w:proofErr w:type="spellEnd"/>
      <w:r>
        <w:t xml:space="preserve">, der gennemføres af depotkundens KI (Bank Y) på baggrund af </w:t>
      </w:r>
      <w:proofErr w:type="spellStart"/>
      <w:r>
        <w:t>preadvice</w:t>
      </w:r>
      <w:proofErr w:type="spellEnd"/>
      <w:r>
        <w:t xml:space="preserve"> fra modparten (Bank Z) forud for afvikling af en transaktion, der er indgået mellem en depotkunde i Bank Y og Bank Z.</w:t>
      </w:r>
    </w:p>
    <w:p w14:paraId="335F820B" w14:textId="77777777" w:rsidR="00A32C77" w:rsidRDefault="00A32C77" w:rsidP="00A32C77"/>
    <w:p w14:paraId="720C9C3C" w14:textId="5024140B" w:rsidR="00A32C77" w:rsidRDefault="00A32C77" w:rsidP="00A32C77">
      <w:r>
        <w:t>Frigivelse sker altså, når depotkunde i Bank Y indgår en transaktion med Bank Z, og b</w:t>
      </w:r>
      <w:r w:rsidRPr="008C33A9">
        <w:t xml:space="preserve">åde Bank </w:t>
      </w:r>
      <w:r>
        <w:t>Y</w:t>
      </w:r>
      <w:r w:rsidRPr="008C33A9">
        <w:t xml:space="preserve"> og Bank </w:t>
      </w:r>
      <w:r>
        <w:t>Z</w:t>
      </w:r>
      <w:r w:rsidRPr="008C33A9">
        <w:t xml:space="preserve"> </w:t>
      </w:r>
      <w:r>
        <w:t xml:space="preserve">skal </w:t>
      </w:r>
      <w:r w:rsidRPr="008C33A9">
        <w:t xml:space="preserve">sende en </w:t>
      </w:r>
      <w:proofErr w:type="spellStart"/>
      <w:r w:rsidRPr="008C33A9">
        <w:t>preadvice</w:t>
      </w:r>
      <w:proofErr w:type="spellEnd"/>
      <w:r>
        <w:t xml:space="preserve"> til VP</w:t>
      </w:r>
      <w:r w:rsidRPr="008C33A9">
        <w:t xml:space="preserve">. Bank Y kender ikke til handlen, før kunden informerer om den, og derfor er der i mange banker lavet systemer, der ”kopierer” </w:t>
      </w:r>
      <w:proofErr w:type="spellStart"/>
      <w:r w:rsidRPr="008C33A9">
        <w:t>preadvicen</w:t>
      </w:r>
      <w:proofErr w:type="spellEnd"/>
      <w:r w:rsidRPr="008C33A9">
        <w:t xml:space="preserve"> fra Bank Z, når den modtages. Bank Y tjekker</w:t>
      </w:r>
      <w:r>
        <w:t>,</w:t>
      </w:r>
      <w:r w:rsidRPr="008C33A9">
        <w:t xml:space="preserve"> at de oplysninger</w:t>
      </w:r>
      <w:r w:rsidR="00596CAD">
        <w:t>,</w:t>
      </w:r>
      <w:r w:rsidRPr="008C33A9">
        <w:t xml:space="preserve"> som kunden giver</w:t>
      </w:r>
      <w:r>
        <w:t>,</w:t>
      </w:r>
      <w:r w:rsidRPr="008C33A9">
        <w:t xml:space="preserve"> passer med</w:t>
      </w:r>
      <w:r w:rsidR="00596CAD">
        <w:t>,</w:t>
      </w:r>
      <w:r w:rsidRPr="008C33A9">
        <w:t xml:space="preserve"> hvad Bank Z har instrueret, og siger ok til det </w:t>
      </w:r>
      <w:proofErr w:type="spellStart"/>
      <w:r w:rsidRPr="008C33A9">
        <w:t>forudfyldte</w:t>
      </w:r>
      <w:proofErr w:type="spellEnd"/>
      <w:r w:rsidRPr="008C33A9">
        <w:t xml:space="preserve"> </w:t>
      </w:r>
      <w:proofErr w:type="spellStart"/>
      <w:r w:rsidRPr="008C33A9">
        <w:t>preadvice</w:t>
      </w:r>
      <w:proofErr w:type="spellEnd"/>
      <w:r w:rsidRPr="008C33A9">
        <w:t xml:space="preserve"> = frigiver, hvis det er tilfældet.</w:t>
      </w:r>
    </w:p>
    <w:p w14:paraId="68D2AB7F" w14:textId="77777777" w:rsidR="00A32C77" w:rsidRDefault="00A32C77" w:rsidP="00A32C77"/>
    <w:p w14:paraId="750A1128" w14:textId="1321BD8B" w:rsidR="00A32C77" w:rsidRPr="008C33A9" w:rsidRDefault="00A32C77" w:rsidP="00A32C77">
      <w:r w:rsidRPr="008C33A9">
        <w:t xml:space="preserve">Hvis kunden har </w:t>
      </w:r>
      <w:r w:rsidRPr="00596CAD">
        <w:rPr>
          <w:b/>
        </w:rPr>
        <w:t>købt</w:t>
      </w:r>
      <w:r w:rsidRPr="008C33A9">
        <w:t xml:space="preserve"> papirer i Bank Z</w:t>
      </w:r>
      <w:r w:rsidR="00596CAD">
        <w:t>,</w:t>
      </w:r>
      <w:r w:rsidRPr="008C33A9">
        <w:t xml:space="preserve"> </w:t>
      </w:r>
      <w:r>
        <w:t xml:space="preserve">frigiver </w:t>
      </w:r>
      <w:r w:rsidRPr="008C33A9">
        <w:t>Bank Y penge, o</w:t>
      </w:r>
      <w:r>
        <w:t xml:space="preserve">g hvis kunden har </w:t>
      </w:r>
      <w:r w:rsidRPr="00596CAD">
        <w:rPr>
          <w:b/>
        </w:rPr>
        <w:t>solgt</w:t>
      </w:r>
      <w:r>
        <w:t xml:space="preserve"> papirer, frigiver </w:t>
      </w:r>
      <w:r w:rsidRPr="008C33A9">
        <w:t>Bank Y papirer.</w:t>
      </w:r>
    </w:p>
    <w:p w14:paraId="1E412C8F" w14:textId="77777777" w:rsidR="00A32C77" w:rsidRDefault="00A32C77" w:rsidP="00A32C77">
      <w:pPr>
        <w:rPr>
          <w:i/>
        </w:rPr>
      </w:pPr>
    </w:p>
    <w:p w14:paraId="45573BB2" w14:textId="647B8F14" w:rsidR="00A32C77" w:rsidRDefault="00A32C77" w:rsidP="00A32C77">
      <w:r w:rsidRPr="00880CB5">
        <w:t>I VP</w:t>
      </w:r>
      <w:r w:rsidR="00596CAD">
        <w:t>-</w:t>
      </w:r>
      <w:r w:rsidRPr="00880CB5">
        <w:t>systemet sker der en afvikling af handler.</w:t>
      </w:r>
    </w:p>
    <w:p w14:paraId="3E99FC06" w14:textId="77777777" w:rsidR="00A32C77" w:rsidRPr="00880CB5" w:rsidRDefault="00A32C77" w:rsidP="00A32C77"/>
    <w:p w14:paraId="34663C49" w14:textId="732CEDBF" w:rsidR="00A32C77" w:rsidRPr="00850484" w:rsidRDefault="00A32C77" w:rsidP="00A32C77">
      <w:r w:rsidRPr="00850484">
        <w:t>Forskellen mellem</w:t>
      </w:r>
      <w:r w:rsidRPr="0025690D">
        <w:rPr>
          <w:b/>
        </w:rPr>
        <w:t xml:space="preserve"> frigivelse</w:t>
      </w:r>
      <w:r>
        <w:rPr>
          <w:b/>
        </w:rPr>
        <w:t xml:space="preserve"> </w:t>
      </w:r>
      <w:r w:rsidRPr="0025690D">
        <w:t>(eksempel 1)</w:t>
      </w:r>
      <w:r w:rsidRPr="00850484">
        <w:t xml:space="preserve"> </w:t>
      </w:r>
      <w:r>
        <w:t xml:space="preserve">og </w:t>
      </w:r>
      <w:r w:rsidRPr="0025690D">
        <w:rPr>
          <w:b/>
        </w:rPr>
        <w:t>instruktion</w:t>
      </w:r>
      <w:r w:rsidRPr="00850484">
        <w:t xml:space="preserve"> </w:t>
      </w:r>
      <w:r>
        <w:t>(eksempel 2)</w:t>
      </w:r>
      <w:r w:rsidRPr="00850484">
        <w:t xml:space="preserve"> illustreres ved følgende eksempler:</w:t>
      </w:r>
    </w:p>
    <w:p w14:paraId="512388A5" w14:textId="77777777" w:rsidR="00A32C77" w:rsidRDefault="00A32C77" w:rsidP="00A32C77">
      <w:pPr>
        <w:rPr>
          <w:i/>
        </w:rPr>
      </w:pPr>
    </w:p>
    <w:p w14:paraId="5B3E10C2" w14:textId="77777777" w:rsidR="00A32C77" w:rsidRDefault="00A32C77" w:rsidP="00A32C77">
      <w:r w:rsidRPr="00850484">
        <w:rPr>
          <w:i/>
        </w:rPr>
        <w:t>Eksempel 1</w:t>
      </w:r>
      <w:r w:rsidRPr="00850484">
        <w:t xml:space="preserve">.  </w:t>
      </w:r>
    </w:p>
    <w:p w14:paraId="7715D51D" w14:textId="77777777" w:rsidR="00A32C77" w:rsidRPr="00F66A6C" w:rsidRDefault="00A32C77" w:rsidP="00672870">
      <w:pPr>
        <w:pStyle w:val="Listeafsnit"/>
        <w:numPr>
          <w:ilvl w:val="0"/>
          <w:numId w:val="10"/>
        </w:numPr>
        <w:tabs>
          <w:tab w:val="clear" w:pos="284"/>
        </w:tabs>
      </w:pPr>
      <w:r w:rsidRPr="00850484">
        <w:t>En privatkunde handler med en anden part (Danske Bank) end depotbank (Nordea).</w:t>
      </w:r>
    </w:p>
    <w:p w14:paraId="1B9DB64B" w14:textId="77777777" w:rsidR="00A32C77" w:rsidRDefault="00A32C77" w:rsidP="00672870">
      <w:pPr>
        <w:pStyle w:val="Listeafsnit"/>
        <w:numPr>
          <w:ilvl w:val="0"/>
          <w:numId w:val="10"/>
        </w:numPr>
        <w:tabs>
          <w:tab w:val="clear" w:pos="284"/>
        </w:tabs>
      </w:pPr>
      <w:r w:rsidRPr="00850484">
        <w:t xml:space="preserve">Danske </w:t>
      </w:r>
      <w:r w:rsidRPr="00F66A6C">
        <w:t>B</w:t>
      </w:r>
      <w:r w:rsidRPr="00850484">
        <w:t xml:space="preserve">ank sender </w:t>
      </w:r>
      <w:proofErr w:type="spellStart"/>
      <w:r w:rsidRPr="00850484">
        <w:t>preadvice</w:t>
      </w:r>
      <w:proofErr w:type="spellEnd"/>
      <w:r w:rsidRPr="00850484">
        <w:t xml:space="preserve"> til VP.</w:t>
      </w:r>
    </w:p>
    <w:p w14:paraId="0C671F5C" w14:textId="654584CC" w:rsidR="00A32C77" w:rsidRDefault="00A32C77" w:rsidP="00672870">
      <w:pPr>
        <w:pStyle w:val="Listeafsnit"/>
        <w:numPr>
          <w:ilvl w:val="0"/>
          <w:numId w:val="10"/>
        </w:numPr>
        <w:tabs>
          <w:tab w:val="clear" w:pos="284"/>
        </w:tabs>
      </w:pPr>
      <w:r w:rsidRPr="00F66A6C">
        <w:t>K</w:t>
      </w:r>
      <w:r w:rsidRPr="00850484">
        <w:t>unden henvender sig til sin filial i Nordea og meddeler</w:t>
      </w:r>
      <w:r w:rsidR="003E6E44">
        <w:t>,</w:t>
      </w:r>
      <w:r w:rsidRPr="00850484">
        <w:t xml:space="preserve"> han har handlet.</w:t>
      </w:r>
    </w:p>
    <w:p w14:paraId="6B2AC42B" w14:textId="370477ED" w:rsidR="00A32C77" w:rsidRDefault="00A32C77" w:rsidP="00672870">
      <w:pPr>
        <w:pStyle w:val="Listeafsnit"/>
        <w:numPr>
          <w:ilvl w:val="0"/>
          <w:numId w:val="10"/>
        </w:numPr>
        <w:tabs>
          <w:tab w:val="clear" w:pos="284"/>
        </w:tabs>
      </w:pPr>
      <w:r>
        <w:t>T</w:t>
      </w:r>
      <w:r w:rsidRPr="00850484">
        <w:t>ransaktionen</w:t>
      </w:r>
      <w:r>
        <w:t xml:space="preserve"> frigives</w:t>
      </w:r>
      <w:r w:rsidR="003E6E44">
        <w:t>,</w:t>
      </w:r>
      <w:r w:rsidRPr="00850484">
        <w:t xml:space="preserve"> og der dannes </w:t>
      </w:r>
      <w:proofErr w:type="spellStart"/>
      <w:r w:rsidRPr="00850484">
        <w:t>preadvice</w:t>
      </w:r>
      <w:proofErr w:type="spellEnd"/>
      <w:r w:rsidRPr="00850484">
        <w:t>.</w:t>
      </w:r>
    </w:p>
    <w:p w14:paraId="62B484DA" w14:textId="5D469AC6" w:rsidR="00A32C77" w:rsidRPr="00850484" w:rsidRDefault="00A32C77" w:rsidP="00672870">
      <w:pPr>
        <w:pStyle w:val="Listeafsnit"/>
        <w:numPr>
          <w:ilvl w:val="0"/>
          <w:numId w:val="10"/>
        </w:numPr>
        <w:tabs>
          <w:tab w:val="clear" w:pos="284"/>
        </w:tabs>
      </w:pPr>
      <w:r w:rsidRPr="00850484">
        <w:t>Handlen afvikle</w:t>
      </w:r>
      <w:r w:rsidR="003E6E44">
        <w:t>r</w:t>
      </w:r>
      <w:r w:rsidRPr="00850484">
        <w:t xml:space="preserve"> derefter i VP.</w:t>
      </w:r>
    </w:p>
    <w:p w14:paraId="42599A4D" w14:textId="77777777" w:rsidR="00A32C77" w:rsidRDefault="00A32C77" w:rsidP="00A32C77">
      <w:pPr>
        <w:rPr>
          <w:i/>
        </w:rPr>
      </w:pPr>
    </w:p>
    <w:p w14:paraId="02816686" w14:textId="77777777" w:rsidR="00A32C77" w:rsidRDefault="00A32C77" w:rsidP="00A32C77">
      <w:pPr>
        <w:spacing w:line="240" w:lineRule="auto"/>
        <w:rPr>
          <w:i/>
        </w:rPr>
      </w:pPr>
      <w:r>
        <w:rPr>
          <w:i/>
        </w:rPr>
        <w:br w:type="page"/>
      </w:r>
    </w:p>
    <w:p w14:paraId="3946E165" w14:textId="77777777" w:rsidR="00A32C77" w:rsidRDefault="00A32C77" w:rsidP="00A32C77">
      <w:r w:rsidRPr="00850484">
        <w:rPr>
          <w:i/>
        </w:rPr>
        <w:lastRenderedPageBreak/>
        <w:t>Eksempel 2</w:t>
      </w:r>
      <w:r w:rsidRPr="00850484">
        <w:t xml:space="preserve">. </w:t>
      </w:r>
    </w:p>
    <w:p w14:paraId="6F41BACE" w14:textId="6CE6343B" w:rsidR="00A32C77" w:rsidRDefault="00A32C77" w:rsidP="00672870">
      <w:pPr>
        <w:pStyle w:val="Listeafsnit"/>
        <w:numPr>
          <w:ilvl w:val="0"/>
          <w:numId w:val="11"/>
        </w:numPr>
        <w:tabs>
          <w:tab w:val="clear" w:pos="284"/>
        </w:tabs>
      </w:pPr>
      <w:r w:rsidRPr="00850484">
        <w:t>En udenlandsk kunde handler med en anden part (</w:t>
      </w:r>
      <w:r>
        <w:t>Danske Bank</w:t>
      </w:r>
      <w:r w:rsidRPr="00850484">
        <w:t>) end depotbank (Nordea)</w:t>
      </w:r>
      <w:r w:rsidRPr="00F66A6C">
        <w:t>.</w:t>
      </w:r>
    </w:p>
    <w:p w14:paraId="47A85CE2" w14:textId="566E9F2A" w:rsidR="00A32C77" w:rsidRDefault="00A32C77" w:rsidP="00672870">
      <w:pPr>
        <w:pStyle w:val="Listeafsnit"/>
        <w:numPr>
          <w:ilvl w:val="0"/>
          <w:numId w:val="11"/>
        </w:numPr>
        <w:tabs>
          <w:tab w:val="clear" w:pos="284"/>
        </w:tabs>
      </w:pPr>
      <w:r>
        <w:t xml:space="preserve">Danske Bank </w:t>
      </w:r>
      <w:r w:rsidRPr="00850484">
        <w:t>sender instruktion</w:t>
      </w:r>
      <w:r w:rsidRPr="00F66A6C">
        <w:t xml:space="preserve"> </w:t>
      </w:r>
      <w:r w:rsidRPr="00850484">
        <w:t>(</w:t>
      </w:r>
      <w:proofErr w:type="spellStart"/>
      <w:r w:rsidRPr="00850484">
        <w:t>preadvice</w:t>
      </w:r>
      <w:proofErr w:type="spellEnd"/>
      <w:r w:rsidRPr="00850484">
        <w:t>) til VP</w:t>
      </w:r>
      <w:r w:rsidRPr="00F66A6C">
        <w:t>.</w:t>
      </w:r>
    </w:p>
    <w:p w14:paraId="2100213F" w14:textId="77777777" w:rsidR="00A32C77" w:rsidRDefault="00A32C77" w:rsidP="00672870">
      <w:pPr>
        <w:pStyle w:val="Listeafsnit"/>
        <w:numPr>
          <w:ilvl w:val="0"/>
          <w:numId w:val="11"/>
        </w:numPr>
        <w:tabs>
          <w:tab w:val="clear" w:pos="284"/>
        </w:tabs>
      </w:pPr>
      <w:r w:rsidRPr="00850484">
        <w:t>Kunden sender instruktion til Nordea med besked om at afvikle handlen</w:t>
      </w:r>
      <w:r w:rsidRPr="00F66A6C">
        <w:t xml:space="preserve"> </w:t>
      </w:r>
      <w:r w:rsidRPr="00850484">
        <w:t>(sker via SWIFT).</w:t>
      </w:r>
    </w:p>
    <w:p w14:paraId="1D082AE1" w14:textId="6CDCDF1A" w:rsidR="00A32C77" w:rsidRDefault="00A32C77" w:rsidP="00672870">
      <w:pPr>
        <w:pStyle w:val="Listeafsnit"/>
        <w:numPr>
          <w:ilvl w:val="0"/>
          <w:numId w:val="11"/>
        </w:numPr>
        <w:tabs>
          <w:tab w:val="clear" w:pos="284"/>
        </w:tabs>
      </w:pPr>
      <w:r w:rsidRPr="00850484">
        <w:t>Nordea sender instruktion (</w:t>
      </w:r>
      <w:proofErr w:type="spellStart"/>
      <w:r w:rsidRPr="00850484">
        <w:t>preadvice</w:t>
      </w:r>
      <w:proofErr w:type="spellEnd"/>
      <w:r w:rsidRPr="00850484">
        <w:t>) til VP.</w:t>
      </w:r>
    </w:p>
    <w:p w14:paraId="5D61CE08" w14:textId="77777777" w:rsidR="00A32C77" w:rsidRDefault="00A32C77" w:rsidP="00672870">
      <w:pPr>
        <w:pStyle w:val="Listeafsnit"/>
        <w:numPr>
          <w:ilvl w:val="0"/>
          <w:numId w:val="11"/>
        </w:numPr>
        <w:tabs>
          <w:tab w:val="clear" w:pos="284"/>
        </w:tabs>
      </w:pPr>
      <w:r w:rsidRPr="00850484">
        <w:t>Handlen afvikler i VP.</w:t>
      </w:r>
    </w:p>
    <w:p w14:paraId="0C29F003" w14:textId="77777777" w:rsidR="00A32C77" w:rsidRPr="00F234C3" w:rsidRDefault="00A32C77" w:rsidP="00A32C77"/>
    <w:p w14:paraId="3FE9542B" w14:textId="77777777" w:rsidR="00A32C77" w:rsidRDefault="00A32C77" w:rsidP="00A32C77"/>
    <w:p w14:paraId="754ECE7C" w14:textId="77777777" w:rsidR="00A32C77" w:rsidRDefault="00A32C77" w:rsidP="00A32C77"/>
    <w:p w14:paraId="6B545538" w14:textId="77777777" w:rsidR="00A32C77" w:rsidRDefault="00A32C77" w:rsidP="00A32C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562E05" w14:textId="77777777" w:rsidR="00A32C77" w:rsidRDefault="00A32C77" w:rsidP="00A32C77">
      <w:pPr>
        <w:pStyle w:val="Overskrift2"/>
      </w:pPr>
      <w:bookmarkStart w:id="52" w:name="_Toc487121533"/>
      <w:bookmarkStart w:id="53" w:name="_Toc487121534"/>
      <w:bookmarkStart w:id="54" w:name="_Toc524351846"/>
      <w:bookmarkEnd w:id="52"/>
      <w:bookmarkEnd w:id="53"/>
      <w:r w:rsidRPr="009C0520">
        <w:lastRenderedPageBreak/>
        <w:t>Bilag 4: Illustrationer</w:t>
      </w:r>
      <w:bookmarkEnd w:id="54"/>
    </w:p>
    <w:p w14:paraId="0E304638" w14:textId="77777777" w:rsidR="00A32C77" w:rsidRDefault="00A32C77" w:rsidP="00A32C77">
      <w:pPr>
        <w:spacing w:line="240" w:lineRule="auto"/>
        <w:rPr>
          <w:b/>
        </w:rPr>
      </w:pPr>
    </w:p>
    <w:p w14:paraId="6D0281FF" w14:textId="4858E662" w:rsidR="00A32C77" w:rsidRPr="001F2B4F" w:rsidRDefault="00A32C77" w:rsidP="00A32C77">
      <w:pPr>
        <w:jc w:val="both"/>
        <w:rPr>
          <w:b/>
          <w:noProof/>
          <w:lang w:eastAsia="da-DK"/>
        </w:rPr>
      </w:pPr>
      <w:bookmarkStart w:id="55" w:name="_Ref506989527"/>
      <w:r w:rsidRPr="001F2B4F">
        <w:rPr>
          <w:b/>
        </w:rPr>
        <w:t xml:space="preserve">Figur </w:t>
      </w:r>
      <w:r w:rsidRPr="001F2B4F">
        <w:rPr>
          <w:b/>
        </w:rPr>
        <w:fldChar w:fldCharType="begin"/>
      </w:r>
      <w:r w:rsidRPr="001F2B4F">
        <w:rPr>
          <w:b/>
        </w:rPr>
        <w:instrText xml:space="preserve"> SEQ Figur \* ARABIC </w:instrText>
      </w:r>
      <w:r w:rsidRPr="001F2B4F">
        <w:rPr>
          <w:b/>
        </w:rPr>
        <w:fldChar w:fldCharType="separate"/>
      </w:r>
      <w:r w:rsidR="005B5539">
        <w:rPr>
          <w:b/>
          <w:noProof/>
        </w:rPr>
        <w:t>1</w:t>
      </w:r>
      <w:r w:rsidRPr="001F2B4F">
        <w:rPr>
          <w:b/>
        </w:rPr>
        <w:fldChar w:fldCharType="end"/>
      </w:r>
      <w:bookmarkEnd w:id="55"/>
      <w:r w:rsidRPr="001F2B4F">
        <w:rPr>
          <w:b/>
        </w:rPr>
        <w:t>:</w:t>
      </w:r>
      <w:r w:rsidRPr="001F2B4F">
        <w:rPr>
          <w:b/>
          <w:noProof/>
          <w:lang w:eastAsia="da-DK"/>
        </w:rPr>
        <w:t xml:space="preserve"> Bank Y’s kunde køber af </w:t>
      </w:r>
      <w:r>
        <w:rPr>
          <w:b/>
          <w:noProof/>
          <w:lang w:eastAsia="da-DK"/>
        </w:rPr>
        <w:t>b</w:t>
      </w:r>
      <w:r w:rsidRPr="001F2B4F">
        <w:rPr>
          <w:b/>
          <w:noProof/>
          <w:lang w:eastAsia="da-DK"/>
        </w:rPr>
        <w:t xml:space="preserve">ank Z </w:t>
      </w:r>
      <w:r>
        <w:rPr>
          <w:b/>
          <w:noProof/>
          <w:lang w:eastAsia="da-DK"/>
        </w:rPr>
        <w:t>(1:1 modellen)</w:t>
      </w:r>
    </w:p>
    <w:p w14:paraId="1442018F" w14:textId="77777777" w:rsidR="00A32C77" w:rsidRPr="00E13D68" w:rsidRDefault="00A32C77" w:rsidP="00A32C77">
      <w:pPr>
        <w:jc w:val="both"/>
        <w:rPr>
          <w:b/>
          <w:noProof/>
          <w:sz w:val="28"/>
          <w:szCs w:val="28"/>
          <w:u w:val="single"/>
          <w:lang w:eastAsia="da-DK"/>
        </w:rPr>
      </w:pPr>
      <w:r>
        <w:rPr>
          <w:noProof/>
          <w:lang w:eastAsia="da-DK"/>
        </w:rPr>
        <w:drawing>
          <wp:inline distT="0" distB="0" distL="0" distR="0" wp14:anchorId="3A35BD99" wp14:editId="3AB76243">
            <wp:extent cx="4500880" cy="2513472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25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29068" w14:textId="77777777" w:rsidR="00A32C77" w:rsidRPr="00CA3EFA" w:rsidRDefault="00A32C77" w:rsidP="00A32C77">
      <w:pPr>
        <w:rPr>
          <w:noProof/>
          <w:lang w:eastAsia="da-DK"/>
        </w:rPr>
      </w:pPr>
      <w:r>
        <w:rPr>
          <w:noProof/>
          <w:lang w:eastAsia="da-DK"/>
        </w:rPr>
        <w:t xml:space="preserve">Udgangspunkt: </w:t>
      </w:r>
      <w:r w:rsidRPr="00850484">
        <w:rPr>
          <w:noProof/>
          <w:lang w:eastAsia="da-DK"/>
        </w:rPr>
        <w:t xml:space="preserve">Kunden er kunde hos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 xml:space="preserve">ank Y, men handler med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>ank Z</w:t>
      </w:r>
      <w:r>
        <w:rPr>
          <w:noProof/>
          <w:lang w:eastAsia="da-DK"/>
        </w:rPr>
        <w:t xml:space="preserve">. </w:t>
      </w:r>
      <w:r w:rsidRPr="00CA3EFA">
        <w:rPr>
          <w:noProof/>
          <w:lang w:eastAsia="da-DK"/>
        </w:rPr>
        <w:t>(OBS:</w:t>
      </w:r>
      <w:r>
        <w:rPr>
          <w:noProof/>
          <w:lang w:eastAsia="da-DK"/>
        </w:rPr>
        <w:t xml:space="preserve"> denne type handel</w:t>
      </w:r>
      <w:r w:rsidRPr="00CA3EFA">
        <w:rPr>
          <w:noProof/>
          <w:lang w:eastAsia="da-DK"/>
        </w:rPr>
        <w:t xml:space="preserve"> afvikles via VP i dag)</w:t>
      </w:r>
    </w:p>
    <w:p w14:paraId="6BAACE3B" w14:textId="156C41F1" w:rsidR="00A32C77" w:rsidRPr="00850484" w:rsidRDefault="00A32C77" w:rsidP="00672870">
      <w:pPr>
        <w:pStyle w:val="Listeafsnit"/>
        <w:numPr>
          <w:ilvl w:val="0"/>
          <w:numId w:val="6"/>
        </w:numPr>
        <w:tabs>
          <w:tab w:val="clear" w:pos="284"/>
        </w:tabs>
        <w:rPr>
          <w:noProof/>
          <w:lang w:eastAsia="da-DK"/>
        </w:rPr>
      </w:pPr>
      <w:r>
        <w:rPr>
          <w:noProof/>
          <w:lang w:eastAsia="da-DK"/>
        </w:rPr>
        <w:t xml:space="preserve">Bank </w:t>
      </w:r>
      <w:r w:rsidRPr="00850484">
        <w:rPr>
          <w:noProof/>
          <w:lang w:eastAsia="da-DK"/>
        </w:rPr>
        <w:t>Z la</w:t>
      </w:r>
      <w:r>
        <w:rPr>
          <w:noProof/>
          <w:lang w:eastAsia="da-DK"/>
        </w:rPr>
        <w:t>ver fondsnota, indberetter til Skat, Finans</w:t>
      </w:r>
      <w:r w:rsidRPr="00850484">
        <w:rPr>
          <w:noProof/>
          <w:lang w:eastAsia="da-DK"/>
        </w:rPr>
        <w:t xml:space="preserve">tilsyn og </w:t>
      </w:r>
      <w:r>
        <w:rPr>
          <w:noProof/>
          <w:lang w:eastAsia="da-DK"/>
        </w:rPr>
        <w:t>Nasdaq</w:t>
      </w:r>
      <w:r w:rsidRPr="00850484">
        <w:rPr>
          <w:noProof/>
          <w:lang w:eastAsia="da-DK"/>
        </w:rPr>
        <w:t xml:space="preserve"> (alt vedr</w:t>
      </w:r>
      <w:r w:rsidR="0082356B">
        <w:rPr>
          <w:noProof/>
          <w:lang w:eastAsia="da-DK"/>
        </w:rPr>
        <w:t>ørende</w:t>
      </w:r>
      <w:r w:rsidRPr="00850484">
        <w:rPr>
          <w:noProof/>
          <w:lang w:eastAsia="da-DK"/>
        </w:rPr>
        <w:t xml:space="preserve"> handlen)</w:t>
      </w:r>
    </w:p>
    <w:p w14:paraId="12B68F38" w14:textId="77777777" w:rsidR="00A32C77" w:rsidRPr="00850484" w:rsidRDefault="00A32C77" w:rsidP="00672870">
      <w:pPr>
        <w:pStyle w:val="Listeafsnit"/>
        <w:numPr>
          <w:ilvl w:val="0"/>
          <w:numId w:val="6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 xml:space="preserve">Fondsnotaen lyder på kundens depot og konto i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>ank Y</w:t>
      </w:r>
    </w:p>
    <w:p w14:paraId="00A10C79" w14:textId="77777777" w:rsidR="00A32C77" w:rsidRPr="00732A82" w:rsidRDefault="00A32C77" w:rsidP="00672870">
      <w:pPr>
        <w:pStyle w:val="Listeafsnit"/>
        <w:numPr>
          <w:ilvl w:val="0"/>
          <w:numId w:val="6"/>
        </w:numPr>
        <w:tabs>
          <w:tab w:val="clear" w:pos="284"/>
        </w:tabs>
        <w:rPr>
          <w:noProof/>
          <w:lang w:val="en-US" w:eastAsia="da-DK"/>
        </w:rPr>
      </w:pPr>
      <w:r w:rsidRPr="00732A82">
        <w:rPr>
          <w:noProof/>
          <w:lang w:val="en-US" w:eastAsia="da-DK"/>
        </w:rPr>
        <w:t>Bank Y matcher bank Z</w:t>
      </w:r>
    </w:p>
    <w:p w14:paraId="3D68291E" w14:textId="04187636" w:rsidR="00A32C77" w:rsidRDefault="00A32C77" w:rsidP="00672870">
      <w:pPr>
        <w:pStyle w:val="Listeafsnit"/>
        <w:numPr>
          <w:ilvl w:val="0"/>
          <w:numId w:val="6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 xml:space="preserve">På afviklingsdagen: Pengene trækkes via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 xml:space="preserve">ank Y’s </w:t>
      </w:r>
      <w:r>
        <w:rPr>
          <w:noProof/>
          <w:lang w:eastAsia="da-DK"/>
        </w:rPr>
        <w:t>DCA</w:t>
      </w:r>
      <w:r w:rsidRPr="00850484">
        <w:rPr>
          <w:noProof/>
          <w:lang w:eastAsia="da-DK"/>
        </w:rPr>
        <w:t>-konto</w:t>
      </w:r>
      <w:r>
        <w:rPr>
          <w:noProof/>
          <w:lang w:eastAsia="da-DK"/>
        </w:rPr>
        <w:t xml:space="preserve"> fra kundens konto i bank Y og indsættes på bank Z’s DCA-konto</w:t>
      </w:r>
      <w:r w:rsidRPr="00850484">
        <w:rPr>
          <w:noProof/>
          <w:lang w:eastAsia="da-DK"/>
        </w:rPr>
        <w:t xml:space="preserve">. </w:t>
      </w:r>
      <w:r>
        <w:rPr>
          <w:noProof/>
          <w:lang w:eastAsia="da-DK"/>
        </w:rPr>
        <w:t>Papirerne trækkes fra bank Z’s T2S</w:t>
      </w:r>
      <w:r w:rsidR="0082356B">
        <w:rPr>
          <w:noProof/>
          <w:lang w:eastAsia="da-DK"/>
        </w:rPr>
        <w:t>-</w:t>
      </w:r>
      <w:r>
        <w:rPr>
          <w:noProof/>
          <w:lang w:eastAsia="da-DK"/>
        </w:rPr>
        <w:t>depot og indsættes på k</w:t>
      </w:r>
      <w:r w:rsidRPr="00850484">
        <w:rPr>
          <w:noProof/>
          <w:lang w:eastAsia="da-DK"/>
        </w:rPr>
        <w:t>unden</w:t>
      </w:r>
      <w:r>
        <w:rPr>
          <w:noProof/>
          <w:lang w:eastAsia="da-DK"/>
        </w:rPr>
        <w:t>s T2S</w:t>
      </w:r>
      <w:r w:rsidR="0082356B">
        <w:rPr>
          <w:noProof/>
          <w:lang w:eastAsia="da-DK"/>
        </w:rPr>
        <w:t>-</w:t>
      </w:r>
      <w:r>
        <w:rPr>
          <w:noProof/>
          <w:lang w:eastAsia="da-DK"/>
        </w:rPr>
        <w:t>depot</w:t>
      </w:r>
      <w:r w:rsidRPr="00850484">
        <w:rPr>
          <w:noProof/>
          <w:lang w:eastAsia="da-DK"/>
        </w:rPr>
        <w:t>.</w:t>
      </w:r>
    </w:p>
    <w:p w14:paraId="5FFE2F5A" w14:textId="77777777" w:rsidR="00A32C77" w:rsidRDefault="00A32C77" w:rsidP="00A32C77">
      <w:r>
        <w:br/>
      </w:r>
    </w:p>
    <w:p w14:paraId="356B71A1" w14:textId="77777777" w:rsidR="00A32C77" w:rsidRDefault="00A32C77" w:rsidP="00A32C77">
      <w:pPr>
        <w:spacing w:line="240" w:lineRule="auto"/>
        <w:rPr>
          <w:b/>
        </w:rPr>
      </w:pPr>
      <w:r>
        <w:rPr>
          <w:b/>
        </w:rPr>
        <w:br w:type="page"/>
      </w:r>
    </w:p>
    <w:p w14:paraId="75F2F079" w14:textId="16BEE79B" w:rsidR="00A32C77" w:rsidRPr="001F2B4F" w:rsidRDefault="00A32C77" w:rsidP="00A32C77">
      <w:pPr>
        <w:rPr>
          <w:b/>
          <w:noProof/>
          <w:lang w:eastAsia="da-DK"/>
        </w:rPr>
      </w:pPr>
      <w:bookmarkStart w:id="56" w:name="_Ref506989603"/>
      <w:r w:rsidRPr="001F2B4F">
        <w:rPr>
          <w:b/>
        </w:rPr>
        <w:lastRenderedPageBreak/>
        <w:t xml:space="preserve">Figur </w:t>
      </w:r>
      <w:r w:rsidRPr="001F2B4F">
        <w:rPr>
          <w:b/>
        </w:rPr>
        <w:fldChar w:fldCharType="begin"/>
      </w:r>
      <w:r w:rsidRPr="001F2B4F">
        <w:rPr>
          <w:b/>
        </w:rPr>
        <w:instrText xml:space="preserve"> SEQ Figur \* ARABIC </w:instrText>
      </w:r>
      <w:r w:rsidRPr="001F2B4F">
        <w:rPr>
          <w:b/>
        </w:rPr>
        <w:fldChar w:fldCharType="separate"/>
      </w:r>
      <w:r w:rsidR="005B5539">
        <w:rPr>
          <w:b/>
          <w:noProof/>
        </w:rPr>
        <w:t>2</w:t>
      </w:r>
      <w:r w:rsidRPr="001F2B4F">
        <w:rPr>
          <w:b/>
        </w:rPr>
        <w:fldChar w:fldCharType="end"/>
      </w:r>
      <w:bookmarkEnd w:id="56"/>
      <w:r w:rsidRPr="001F2B4F">
        <w:rPr>
          <w:b/>
        </w:rPr>
        <w:t xml:space="preserve">: </w:t>
      </w:r>
      <w:r>
        <w:rPr>
          <w:b/>
          <w:noProof/>
          <w:lang w:eastAsia="da-DK"/>
        </w:rPr>
        <w:t xml:space="preserve">Bank </w:t>
      </w:r>
      <w:r w:rsidRPr="001F2B4F">
        <w:rPr>
          <w:b/>
          <w:noProof/>
          <w:lang w:eastAsia="da-DK"/>
        </w:rPr>
        <w:t>Y’s kunde køber af bank Z</w:t>
      </w:r>
      <w:r w:rsidRPr="00A42C7B">
        <w:rPr>
          <w:b/>
        </w:rPr>
        <w:t xml:space="preserve"> </w:t>
      </w:r>
      <w:r>
        <w:rPr>
          <w:b/>
        </w:rPr>
        <w:t>(</w:t>
      </w:r>
      <w:r w:rsidRPr="00D56207">
        <w:rPr>
          <w:b/>
        </w:rPr>
        <w:t>Omnibusmodellen</w:t>
      </w:r>
      <w:r>
        <w:rPr>
          <w:b/>
        </w:rPr>
        <w:t>)</w:t>
      </w:r>
    </w:p>
    <w:p w14:paraId="04003AA3" w14:textId="77777777" w:rsidR="00A32C77" w:rsidRPr="00572217" w:rsidRDefault="00A32C77" w:rsidP="00A32C77">
      <w:pPr>
        <w:jc w:val="both"/>
        <w:rPr>
          <w:noProof/>
          <w:sz w:val="24"/>
          <w:szCs w:val="24"/>
          <w:lang w:eastAsia="da-DK"/>
        </w:rPr>
      </w:pPr>
      <w:r w:rsidRPr="004810E0">
        <w:rPr>
          <w:noProof/>
          <w:lang w:eastAsia="da-DK"/>
        </w:rPr>
        <w:drawing>
          <wp:inline distT="0" distB="0" distL="0" distR="0" wp14:anchorId="2841695A" wp14:editId="70736055">
            <wp:extent cx="4500880" cy="2593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259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62941" w14:textId="77777777" w:rsidR="00A32C77" w:rsidRPr="00850484" w:rsidRDefault="00A32C77" w:rsidP="00A32C77">
      <w:pPr>
        <w:rPr>
          <w:noProof/>
          <w:lang w:eastAsia="da-DK"/>
        </w:rPr>
      </w:pPr>
      <w:r>
        <w:rPr>
          <w:noProof/>
          <w:lang w:eastAsia="da-DK"/>
        </w:rPr>
        <w:t xml:space="preserve">Udgangspunkt: </w:t>
      </w:r>
      <w:r w:rsidRPr="00850484">
        <w:rPr>
          <w:noProof/>
          <w:lang w:eastAsia="da-DK"/>
        </w:rPr>
        <w:t xml:space="preserve">Kunden er kunde hos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 xml:space="preserve">ank Y, men handler med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>ank Z</w:t>
      </w:r>
      <w:r>
        <w:rPr>
          <w:noProof/>
          <w:lang w:eastAsia="da-DK"/>
        </w:rPr>
        <w:t>.</w:t>
      </w:r>
    </w:p>
    <w:p w14:paraId="0DF95245" w14:textId="5A3D3A4E" w:rsidR="00A32C77" w:rsidRPr="00850484" w:rsidRDefault="00A32C77" w:rsidP="00672870">
      <w:pPr>
        <w:pStyle w:val="Listeafsnit"/>
        <w:numPr>
          <w:ilvl w:val="0"/>
          <w:numId w:val="7"/>
        </w:numPr>
        <w:tabs>
          <w:tab w:val="clear" w:pos="284"/>
        </w:tabs>
        <w:rPr>
          <w:noProof/>
          <w:lang w:eastAsia="da-DK"/>
        </w:rPr>
      </w:pPr>
      <w:r>
        <w:rPr>
          <w:noProof/>
          <w:lang w:eastAsia="da-DK"/>
        </w:rPr>
        <w:t xml:space="preserve">Bank </w:t>
      </w:r>
      <w:r w:rsidRPr="00850484">
        <w:rPr>
          <w:noProof/>
          <w:lang w:eastAsia="da-DK"/>
        </w:rPr>
        <w:t>Z la</w:t>
      </w:r>
      <w:r>
        <w:rPr>
          <w:noProof/>
          <w:lang w:eastAsia="da-DK"/>
        </w:rPr>
        <w:t>ver fondsnota, indberetter til Skat, Finans</w:t>
      </w:r>
      <w:r w:rsidRPr="00850484">
        <w:rPr>
          <w:noProof/>
          <w:lang w:eastAsia="da-DK"/>
        </w:rPr>
        <w:t xml:space="preserve">tilsyn og </w:t>
      </w:r>
      <w:r>
        <w:rPr>
          <w:noProof/>
          <w:lang w:eastAsia="da-DK"/>
        </w:rPr>
        <w:t>Nasdaq</w:t>
      </w:r>
      <w:r w:rsidRPr="00850484">
        <w:rPr>
          <w:noProof/>
          <w:lang w:eastAsia="da-DK"/>
        </w:rPr>
        <w:t xml:space="preserve"> (alt vedr</w:t>
      </w:r>
      <w:r w:rsidR="0082356B">
        <w:rPr>
          <w:noProof/>
          <w:lang w:eastAsia="da-DK"/>
        </w:rPr>
        <w:t>ørende</w:t>
      </w:r>
      <w:r w:rsidRPr="00850484">
        <w:rPr>
          <w:noProof/>
          <w:lang w:eastAsia="da-DK"/>
        </w:rPr>
        <w:t xml:space="preserve"> handlen)</w:t>
      </w:r>
    </w:p>
    <w:p w14:paraId="30D5E8A0" w14:textId="77777777" w:rsidR="00A32C77" w:rsidRPr="00850484" w:rsidRDefault="00A32C77" w:rsidP="00672870">
      <w:pPr>
        <w:pStyle w:val="Listeafsnit"/>
        <w:numPr>
          <w:ilvl w:val="0"/>
          <w:numId w:val="7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 xml:space="preserve">Fondsnotaen lyder på kundens depot og konto i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>ank Y</w:t>
      </w:r>
    </w:p>
    <w:p w14:paraId="194A0783" w14:textId="77777777" w:rsidR="00A32C77" w:rsidRDefault="00A32C77" w:rsidP="00672870">
      <w:pPr>
        <w:pStyle w:val="Listeafsnit"/>
        <w:numPr>
          <w:ilvl w:val="0"/>
          <w:numId w:val="7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 xml:space="preserve">Bank Z instruerer mod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>ank Y</w:t>
      </w:r>
      <w:r w:rsidRPr="000C0450">
        <w:rPr>
          <w:rStyle w:val="Fodnotehenvisning"/>
          <w:noProof/>
          <w:lang w:eastAsia="da-DK"/>
        </w:rPr>
        <w:footnoteReference w:id="9"/>
      </w:r>
      <w:r w:rsidRPr="00F66A6C">
        <w:rPr>
          <w:noProof/>
          <w:lang w:eastAsia="da-DK"/>
        </w:rPr>
        <w:t xml:space="preserve">. </w:t>
      </w:r>
    </w:p>
    <w:p w14:paraId="480EE7B5" w14:textId="77777777" w:rsidR="00A32C77" w:rsidRDefault="00A32C77" w:rsidP="00A32C77">
      <w:pPr>
        <w:ind w:left="360"/>
        <w:rPr>
          <w:noProof/>
          <w:lang w:eastAsia="da-DK"/>
        </w:rPr>
      </w:pPr>
      <w:r w:rsidRPr="00850484">
        <w:rPr>
          <w:noProof/>
          <w:lang w:eastAsia="da-DK"/>
        </w:rPr>
        <w:t xml:space="preserve">Bank Y </w:t>
      </w:r>
      <w:r w:rsidRPr="00F66A6C">
        <w:rPr>
          <w:noProof/>
          <w:lang w:eastAsia="da-DK"/>
        </w:rPr>
        <w:t xml:space="preserve">danner </w:t>
      </w:r>
      <w:r>
        <w:rPr>
          <w:noProof/>
          <w:lang w:eastAsia="da-DK"/>
        </w:rPr>
        <w:t xml:space="preserve">2 eller </w:t>
      </w:r>
      <w:r w:rsidRPr="00F66A6C">
        <w:rPr>
          <w:noProof/>
          <w:lang w:eastAsia="da-DK"/>
        </w:rPr>
        <w:t>3 instruktioner</w:t>
      </w:r>
      <w:r>
        <w:rPr>
          <w:noProof/>
          <w:lang w:eastAsia="da-DK"/>
        </w:rPr>
        <w:t>:</w:t>
      </w:r>
      <w:r>
        <w:rPr>
          <w:rStyle w:val="Fodnotehenvisning"/>
          <w:noProof/>
          <w:lang w:eastAsia="da-DK"/>
        </w:rPr>
        <w:footnoteReference w:id="10"/>
      </w:r>
      <w:r w:rsidRPr="00850484">
        <w:rPr>
          <w:noProof/>
          <w:lang w:eastAsia="da-DK"/>
        </w:rPr>
        <w:t xml:space="preserve"> </w:t>
      </w:r>
    </w:p>
    <w:p w14:paraId="7EDBF0A7" w14:textId="77777777" w:rsidR="00A32C77" w:rsidRDefault="00A32C77" w:rsidP="00672870">
      <w:pPr>
        <w:pStyle w:val="Listeafsnit"/>
        <w:numPr>
          <w:ilvl w:val="0"/>
          <w:numId w:val="8"/>
        </w:numPr>
        <w:tabs>
          <w:tab w:val="clear" w:pos="284"/>
        </w:tabs>
        <w:rPr>
          <w:noProof/>
          <w:lang w:eastAsia="da-DK"/>
        </w:rPr>
      </w:pPr>
      <w:r>
        <w:rPr>
          <w:noProof/>
          <w:lang w:eastAsia="da-DK"/>
        </w:rPr>
        <w:t>Instruktion mod bank Z</w:t>
      </w:r>
      <w:r w:rsidRPr="00850484">
        <w:rPr>
          <w:noProof/>
          <w:lang w:eastAsia="da-DK"/>
        </w:rPr>
        <w:t xml:space="preserve"> </w:t>
      </w:r>
    </w:p>
    <w:p w14:paraId="56AC3811" w14:textId="77777777" w:rsidR="00A32C77" w:rsidRDefault="00A32C77" w:rsidP="00672870">
      <w:pPr>
        <w:pStyle w:val="Listeafsnit"/>
        <w:numPr>
          <w:ilvl w:val="0"/>
          <w:numId w:val="8"/>
        </w:numPr>
        <w:tabs>
          <w:tab w:val="clear" w:pos="284"/>
        </w:tabs>
        <w:rPr>
          <w:noProof/>
          <w:lang w:eastAsia="da-DK"/>
        </w:rPr>
      </w:pPr>
      <w:r>
        <w:rPr>
          <w:noProof/>
          <w:lang w:eastAsia="da-DK"/>
        </w:rPr>
        <w:t>Transfer</w:t>
      </w:r>
      <w:r w:rsidRPr="00850484">
        <w:rPr>
          <w:noProof/>
          <w:lang w:eastAsia="da-DK"/>
        </w:rPr>
        <w:t xml:space="preserve"> </w:t>
      </w:r>
      <w:r>
        <w:rPr>
          <w:noProof/>
          <w:lang w:eastAsia="da-DK"/>
        </w:rPr>
        <w:t xml:space="preserve">(FOP) </w:t>
      </w:r>
      <w:r w:rsidRPr="00850484">
        <w:rPr>
          <w:noProof/>
          <w:lang w:eastAsia="da-DK"/>
        </w:rPr>
        <w:t>mellem T2S (Omnibus på vegne af kunder) og VP (Omnibus på vegne af kunder) (linkes m/</w:t>
      </w:r>
      <w:r>
        <w:rPr>
          <w:noProof/>
          <w:lang w:eastAsia="da-DK"/>
        </w:rPr>
        <w:t>C.</w:t>
      </w:r>
      <w:r w:rsidRPr="00850484">
        <w:rPr>
          <w:noProof/>
          <w:lang w:eastAsia="da-DK"/>
        </w:rPr>
        <w:t>1.</w:t>
      </w:r>
      <w:r>
        <w:rPr>
          <w:noProof/>
          <w:lang w:eastAsia="da-DK"/>
        </w:rPr>
        <w:t xml:space="preserve"> i henhold til fast T2S procedure</w:t>
      </w:r>
      <w:r w:rsidRPr="00850484">
        <w:rPr>
          <w:noProof/>
          <w:lang w:eastAsia="da-DK"/>
        </w:rPr>
        <w:t>)</w:t>
      </w:r>
    </w:p>
    <w:p w14:paraId="27EFD8B1" w14:textId="79F2B306" w:rsidR="00A32C77" w:rsidRPr="000C0450" w:rsidRDefault="00A32C77" w:rsidP="00672870">
      <w:pPr>
        <w:pStyle w:val="Listeafsnit"/>
        <w:numPr>
          <w:ilvl w:val="0"/>
          <w:numId w:val="8"/>
        </w:numPr>
        <w:tabs>
          <w:tab w:val="clear" w:pos="284"/>
        </w:tabs>
        <w:rPr>
          <w:noProof/>
          <w:lang w:eastAsia="da-DK"/>
        </w:rPr>
      </w:pPr>
      <w:r>
        <w:rPr>
          <w:noProof/>
          <w:lang w:eastAsia="da-DK"/>
        </w:rPr>
        <w:t>DVP af</w:t>
      </w:r>
      <w:r w:rsidRPr="00F66A6C">
        <w:rPr>
          <w:noProof/>
          <w:lang w:eastAsia="da-DK"/>
        </w:rPr>
        <w:t xml:space="preserve">vikling/FOP flyt </w:t>
      </w:r>
      <w:r w:rsidRPr="00850484">
        <w:rPr>
          <w:noProof/>
          <w:lang w:eastAsia="da-DK"/>
        </w:rPr>
        <w:t xml:space="preserve">mellem VP (Omnibus på vegne af </w:t>
      </w:r>
      <w:r>
        <w:rPr>
          <w:noProof/>
          <w:lang w:eastAsia="da-DK"/>
        </w:rPr>
        <w:t>kunden) og k</w:t>
      </w:r>
      <w:r w:rsidRPr="00850484">
        <w:rPr>
          <w:noProof/>
          <w:lang w:eastAsia="da-DK"/>
        </w:rPr>
        <w:t>unden</w:t>
      </w:r>
      <w:r>
        <w:rPr>
          <w:noProof/>
          <w:lang w:eastAsia="da-DK"/>
        </w:rPr>
        <w:t>s segregerede depot i VP</w:t>
      </w:r>
      <w:r w:rsidRPr="00850484">
        <w:rPr>
          <w:noProof/>
          <w:lang w:eastAsia="da-DK"/>
        </w:rPr>
        <w:t>.</w:t>
      </w:r>
    </w:p>
    <w:p w14:paraId="3758C316" w14:textId="7B158DEE" w:rsidR="00A32C77" w:rsidRDefault="00A32C77" w:rsidP="00672870">
      <w:pPr>
        <w:pStyle w:val="Listeafsnit"/>
        <w:numPr>
          <w:ilvl w:val="0"/>
          <w:numId w:val="7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 xml:space="preserve">På afviklingsdagen: Pengene trækkes via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 xml:space="preserve">ank Y’s </w:t>
      </w:r>
      <w:r>
        <w:rPr>
          <w:noProof/>
          <w:lang w:eastAsia="da-DK"/>
        </w:rPr>
        <w:t>DCA</w:t>
      </w:r>
      <w:r w:rsidRPr="00850484">
        <w:rPr>
          <w:noProof/>
          <w:lang w:eastAsia="da-DK"/>
        </w:rPr>
        <w:t>-konto</w:t>
      </w:r>
      <w:r>
        <w:rPr>
          <w:noProof/>
          <w:lang w:eastAsia="da-DK"/>
        </w:rPr>
        <w:t xml:space="preserve"> fra kundens konto i bank Y og indsættes på bank Z’s DCA-konto</w:t>
      </w:r>
      <w:r w:rsidRPr="00850484">
        <w:rPr>
          <w:noProof/>
          <w:lang w:eastAsia="da-DK"/>
        </w:rPr>
        <w:t xml:space="preserve">. </w:t>
      </w:r>
      <w:r>
        <w:rPr>
          <w:noProof/>
          <w:lang w:eastAsia="da-DK"/>
        </w:rPr>
        <w:t>Papirerne trækkes fra bank Z’s T2S</w:t>
      </w:r>
      <w:r w:rsidR="0082356B">
        <w:rPr>
          <w:noProof/>
          <w:lang w:eastAsia="da-DK"/>
        </w:rPr>
        <w:t>-</w:t>
      </w:r>
      <w:r>
        <w:rPr>
          <w:noProof/>
          <w:lang w:eastAsia="da-DK"/>
        </w:rPr>
        <w:t>depot og indsættes på bank Y’s T2S omnibusdepot</w:t>
      </w:r>
      <w:r w:rsidRPr="00850484">
        <w:rPr>
          <w:noProof/>
          <w:lang w:eastAsia="da-DK"/>
        </w:rPr>
        <w:t>.</w:t>
      </w:r>
      <w:r>
        <w:rPr>
          <w:noProof/>
          <w:lang w:eastAsia="da-DK"/>
        </w:rPr>
        <w:t xml:space="preserve"> Herefter udføres C.2 og C.3.</w:t>
      </w:r>
      <w:r w:rsidRPr="00850484">
        <w:rPr>
          <w:noProof/>
          <w:lang w:eastAsia="da-DK"/>
        </w:rPr>
        <w:t xml:space="preserve"> </w:t>
      </w:r>
    </w:p>
    <w:p w14:paraId="6340F317" w14:textId="77777777" w:rsidR="00A32C77" w:rsidRDefault="00A32C77" w:rsidP="00A32C77">
      <w:pPr>
        <w:rPr>
          <w:b/>
          <w:noProof/>
          <w:lang w:eastAsia="da-DK"/>
        </w:rPr>
      </w:pPr>
    </w:p>
    <w:p w14:paraId="4DBA99DD" w14:textId="77777777" w:rsidR="00A32C77" w:rsidRDefault="00A32C77" w:rsidP="00A32C77">
      <w:pPr>
        <w:spacing w:line="240" w:lineRule="auto"/>
        <w:rPr>
          <w:b/>
          <w:noProof/>
          <w:lang w:eastAsia="da-DK"/>
        </w:rPr>
      </w:pPr>
      <w:r>
        <w:rPr>
          <w:b/>
          <w:noProof/>
          <w:lang w:eastAsia="da-DK"/>
        </w:rPr>
        <w:br w:type="page"/>
      </w:r>
    </w:p>
    <w:p w14:paraId="0AAD8B54" w14:textId="5EEF61F4" w:rsidR="00A32C77" w:rsidRPr="001F2B4F" w:rsidRDefault="00A32C77" w:rsidP="00A32C77">
      <w:pPr>
        <w:rPr>
          <w:b/>
          <w:noProof/>
          <w:lang w:eastAsia="da-DK"/>
        </w:rPr>
      </w:pPr>
      <w:bookmarkStart w:id="57" w:name="_Ref524342575"/>
      <w:r w:rsidRPr="001F2B4F">
        <w:rPr>
          <w:b/>
        </w:rPr>
        <w:lastRenderedPageBreak/>
        <w:t xml:space="preserve">Figur </w:t>
      </w:r>
      <w:r w:rsidRPr="001F2B4F">
        <w:rPr>
          <w:b/>
        </w:rPr>
        <w:fldChar w:fldCharType="begin"/>
      </w:r>
      <w:r w:rsidRPr="001F2B4F">
        <w:rPr>
          <w:b/>
        </w:rPr>
        <w:instrText xml:space="preserve"> SEQ Figur \* ARABIC </w:instrText>
      </w:r>
      <w:r w:rsidRPr="001F2B4F">
        <w:rPr>
          <w:b/>
        </w:rPr>
        <w:fldChar w:fldCharType="separate"/>
      </w:r>
      <w:r w:rsidR="005B5539">
        <w:rPr>
          <w:b/>
          <w:noProof/>
        </w:rPr>
        <w:t>3</w:t>
      </w:r>
      <w:r w:rsidRPr="001F2B4F">
        <w:rPr>
          <w:b/>
        </w:rPr>
        <w:fldChar w:fldCharType="end"/>
      </w:r>
      <w:bookmarkEnd w:id="57"/>
      <w:r w:rsidRPr="001F2B4F">
        <w:rPr>
          <w:b/>
        </w:rPr>
        <w:t xml:space="preserve">: </w:t>
      </w:r>
      <w:r>
        <w:rPr>
          <w:b/>
        </w:rPr>
        <w:t>Bank</w:t>
      </w:r>
      <w:r w:rsidRPr="001F2B4F">
        <w:rPr>
          <w:b/>
          <w:noProof/>
          <w:lang w:eastAsia="da-DK"/>
        </w:rPr>
        <w:t xml:space="preserve"> Y’s kunde sælger til bank Z </w:t>
      </w:r>
      <w:r>
        <w:rPr>
          <w:b/>
        </w:rPr>
        <w:t>(</w:t>
      </w:r>
      <w:r w:rsidRPr="00D56207">
        <w:rPr>
          <w:b/>
        </w:rPr>
        <w:t>Omnibusmodellen</w:t>
      </w:r>
      <w:r>
        <w:rPr>
          <w:b/>
        </w:rPr>
        <w:t>)</w:t>
      </w:r>
    </w:p>
    <w:p w14:paraId="3EC6D967" w14:textId="77777777" w:rsidR="00A32C77" w:rsidRPr="00D41FFD" w:rsidRDefault="00A32C77" w:rsidP="00A32C77">
      <w:pPr>
        <w:jc w:val="both"/>
        <w:rPr>
          <w:noProof/>
          <w:sz w:val="24"/>
          <w:szCs w:val="24"/>
          <w:lang w:eastAsia="da-DK"/>
        </w:rPr>
      </w:pPr>
      <w:r>
        <w:rPr>
          <w:noProof/>
          <w:lang w:eastAsia="da-DK"/>
        </w:rPr>
        <w:drawing>
          <wp:inline distT="0" distB="0" distL="0" distR="0" wp14:anchorId="15439764" wp14:editId="5D138A34">
            <wp:extent cx="4500880" cy="26000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260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0D9F" w14:textId="77777777" w:rsidR="00A32C77" w:rsidRPr="00850484" w:rsidRDefault="00A32C77" w:rsidP="00A32C77">
      <w:pPr>
        <w:rPr>
          <w:noProof/>
          <w:lang w:eastAsia="da-DK"/>
        </w:rPr>
      </w:pPr>
      <w:r>
        <w:rPr>
          <w:noProof/>
          <w:lang w:eastAsia="da-DK"/>
        </w:rPr>
        <w:t>Udgangspunkt: Kunden er kunde hos b</w:t>
      </w:r>
      <w:r w:rsidRPr="00850484">
        <w:rPr>
          <w:noProof/>
          <w:lang w:eastAsia="da-DK"/>
        </w:rPr>
        <w:t xml:space="preserve">ank Y, men handler med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>ank Z</w:t>
      </w:r>
      <w:r>
        <w:rPr>
          <w:noProof/>
          <w:lang w:eastAsia="da-DK"/>
        </w:rPr>
        <w:t xml:space="preserve">. </w:t>
      </w:r>
    </w:p>
    <w:p w14:paraId="240A785C" w14:textId="1AA80840" w:rsidR="00A32C77" w:rsidRPr="00850484" w:rsidRDefault="00A32C77" w:rsidP="00672870">
      <w:pPr>
        <w:pStyle w:val="Listeafsnit"/>
        <w:numPr>
          <w:ilvl w:val="0"/>
          <w:numId w:val="16"/>
        </w:numPr>
        <w:tabs>
          <w:tab w:val="clear" w:pos="284"/>
        </w:tabs>
        <w:rPr>
          <w:noProof/>
          <w:lang w:eastAsia="da-DK"/>
        </w:rPr>
      </w:pPr>
      <w:r>
        <w:rPr>
          <w:noProof/>
          <w:lang w:eastAsia="da-DK"/>
        </w:rPr>
        <w:t xml:space="preserve">Bank </w:t>
      </w:r>
      <w:r w:rsidRPr="00850484">
        <w:rPr>
          <w:noProof/>
          <w:lang w:eastAsia="da-DK"/>
        </w:rPr>
        <w:t>Z la</w:t>
      </w:r>
      <w:r>
        <w:rPr>
          <w:noProof/>
          <w:lang w:eastAsia="da-DK"/>
        </w:rPr>
        <w:t>ver fondsnota, indberetter til Skat, Finans</w:t>
      </w:r>
      <w:r w:rsidRPr="00850484">
        <w:rPr>
          <w:noProof/>
          <w:lang w:eastAsia="da-DK"/>
        </w:rPr>
        <w:t xml:space="preserve">tilsyn og </w:t>
      </w:r>
      <w:r>
        <w:rPr>
          <w:noProof/>
          <w:lang w:eastAsia="da-DK"/>
        </w:rPr>
        <w:t>Nasdaq</w:t>
      </w:r>
      <w:r w:rsidRPr="00850484">
        <w:rPr>
          <w:noProof/>
          <w:lang w:eastAsia="da-DK"/>
        </w:rPr>
        <w:t xml:space="preserve"> (alt vedr</w:t>
      </w:r>
      <w:r w:rsidR="0082356B">
        <w:rPr>
          <w:noProof/>
          <w:lang w:eastAsia="da-DK"/>
        </w:rPr>
        <w:t>ørende</w:t>
      </w:r>
      <w:r w:rsidRPr="00850484">
        <w:rPr>
          <w:noProof/>
          <w:lang w:eastAsia="da-DK"/>
        </w:rPr>
        <w:t xml:space="preserve"> handlen)</w:t>
      </w:r>
    </w:p>
    <w:p w14:paraId="40B834F8" w14:textId="77777777" w:rsidR="00A32C77" w:rsidRPr="00850484" w:rsidRDefault="00A32C77" w:rsidP="00672870">
      <w:pPr>
        <w:pStyle w:val="Listeafsnit"/>
        <w:numPr>
          <w:ilvl w:val="0"/>
          <w:numId w:val="16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>Fondsnotaen lyd</w:t>
      </w:r>
      <w:r>
        <w:rPr>
          <w:noProof/>
          <w:lang w:eastAsia="da-DK"/>
        </w:rPr>
        <w:t>er på kundens depot og konto i b</w:t>
      </w:r>
      <w:r w:rsidRPr="00850484">
        <w:rPr>
          <w:noProof/>
          <w:lang w:eastAsia="da-DK"/>
        </w:rPr>
        <w:t>ank Y</w:t>
      </w:r>
    </w:p>
    <w:p w14:paraId="75D4D5DF" w14:textId="77777777" w:rsidR="00A32C77" w:rsidRDefault="00A32C77" w:rsidP="00672870">
      <w:pPr>
        <w:pStyle w:val="Listeafsnit"/>
        <w:numPr>
          <w:ilvl w:val="0"/>
          <w:numId w:val="16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 xml:space="preserve">Bank Z instruerer mod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>ank Y</w:t>
      </w:r>
      <w:r w:rsidRPr="00C368A0">
        <w:rPr>
          <w:rStyle w:val="Fodnotehenvisning"/>
          <w:noProof/>
          <w:lang w:eastAsia="da-DK"/>
        </w:rPr>
        <w:footnoteReference w:id="11"/>
      </w:r>
      <w:r w:rsidRPr="00F66A6C">
        <w:rPr>
          <w:noProof/>
          <w:lang w:eastAsia="da-DK"/>
        </w:rPr>
        <w:t xml:space="preserve">. </w:t>
      </w:r>
    </w:p>
    <w:p w14:paraId="011DCCAB" w14:textId="77777777" w:rsidR="00A32C77" w:rsidRDefault="00A32C77" w:rsidP="00A32C77">
      <w:pPr>
        <w:ind w:left="360"/>
        <w:rPr>
          <w:noProof/>
          <w:lang w:eastAsia="da-DK"/>
        </w:rPr>
      </w:pPr>
      <w:r w:rsidRPr="00850484">
        <w:rPr>
          <w:noProof/>
          <w:lang w:eastAsia="da-DK"/>
        </w:rPr>
        <w:t xml:space="preserve">Bank Y </w:t>
      </w:r>
      <w:r w:rsidRPr="00F66A6C">
        <w:rPr>
          <w:noProof/>
          <w:lang w:eastAsia="da-DK"/>
        </w:rPr>
        <w:t xml:space="preserve">danner </w:t>
      </w:r>
      <w:r>
        <w:rPr>
          <w:noProof/>
          <w:lang w:eastAsia="da-DK"/>
        </w:rPr>
        <w:t xml:space="preserve">2 eller </w:t>
      </w:r>
      <w:r w:rsidRPr="00F66A6C">
        <w:rPr>
          <w:noProof/>
          <w:lang w:eastAsia="da-DK"/>
        </w:rPr>
        <w:t>3 instruktioner</w:t>
      </w:r>
      <w:r>
        <w:rPr>
          <w:noProof/>
          <w:lang w:eastAsia="da-DK"/>
        </w:rPr>
        <w:t>:</w:t>
      </w:r>
      <w:r>
        <w:rPr>
          <w:rStyle w:val="Fodnotehenvisning"/>
          <w:noProof/>
          <w:lang w:eastAsia="da-DK"/>
        </w:rPr>
        <w:footnoteReference w:id="12"/>
      </w:r>
      <w:r w:rsidRPr="00850484">
        <w:rPr>
          <w:noProof/>
          <w:lang w:eastAsia="da-DK"/>
        </w:rPr>
        <w:t xml:space="preserve"> </w:t>
      </w:r>
    </w:p>
    <w:p w14:paraId="6F416AF3" w14:textId="77777777" w:rsidR="00A32C77" w:rsidRDefault="00A32C77" w:rsidP="00672870">
      <w:pPr>
        <w:pStyle w:val="Listeafsnit"/>
        <w:numPr>
          <w:ilvl w:val="0"/>
          <w:numId w:val="17"/>
        </w:numPr>
        <w:tabs>
          <w:tab w:val="clear" w:pos="284"/>
        </w:tabs>
        <w:rPr>
          <w:noProof/>
          <w:lang w:eastAsia="da-DK"/>
        </w:rPr>
      </w:pPr>
      <w:r>
        <w:rPr>
          <w:noProof/>
          <w:lang w:eastAsia="da-DK"/>
        </w:rPr>
        <w:t>Instruktion mod bank Z</w:t>
      </w:r>
      <w:r w:rsidRPr="00850484">
        <w:rPr>
          <w:noProof/>
          <w:lang w:eastAsia="da-DK"/>
        </w:rPr>
        <w:t xml:space="preserve"> </w:t>
      </w:r>
    </w:p>
    <w:p w14:paraId="3BB0DA46" w14:textId="77777777" w:rsidR="00A32C77" w:rsidRDefault="00A32C77" w:rsidP="00672870">
      <w:pPr>
        <w:pStyle w:val="Listeafsnit"/>
        <w:numPr>
          <w:ilvl w:val="0"/>
          <w:numId w:val="17"/>
        </w:numPr>
        <w:tabs>
          <w:tab w:val="clear" w:pos="284"/>
        </w:tabs>
        <w:rPr>
          <w:noProof/>
          <w:lang w:eastAsia="da-DK"/>
        </w:rPr>
      </w:pPr>
      <w:r>
        <w:rPr>
          <w:noProof/>
          <w:lang w:eastAsia="da-DK"/>
        </w:rPr>
        <w:t>Transfer</w:t>
      </w:r>
      <w:r w:rsidRPr="00850484">
        <w:rPr>
          <w:noProof/>
          <w:lang w:eastAsia="da-DK"/>
        </w:rPr>
        <w:t xml:space="preserve"> </w:t>
      </w:r>
      <w:r>
        <w:rPr>
          <w:noProof/>
          <w:lang w:eastAsia="da-DK"/>
        </w:rPr>
        <w:t xml:space="preserve">(FOP) </w:t>
      </w:r>
      <w:r w:rsidRPr="00850484">
        <w:rPr>
          <w:noProof/>
          <w:lang w:eastAsia="da-DK"/>
        </w:rPr>
        <w:t xml:space="preserve">mellem </w:t>
      </w:r>
      <w:r>
        <w:rPr>
          <w:noProof/>
          <w:lang w:eastAsia="da-DK"/>
        </w:rPr>
        <w:t>VP</w:t>
      </w:r>
      <w:r w:rsidRPr="00850484">
        <w:rPr>
          <w:noProof/>
          <w:lang w:eastAsia="da-DK"/>
        </w:rPr>
        <w:t xml:space="preserve"> (Omnibus på vegne af kunder) og </w:t>
      </w:r>
      <w:r>
        <w:rPr>
          <w:noProof/>
          <w:lang w:eastAsia="da-DK"/>
        </w:rPr>
        <w:t>T2S</w:t>
      </w:r>
      <w:r w:rsidRPr="00850484">
        <w:rPr>
          <w:noProof/>
          <w:lang w:eastAsia="da-DK"/>
        </w:rPr>
        <w:t xml:space="preserve"> (Omnibus på vegne af kunder) (linkes m/</w:t>
      </w:r>
      <w:r>
        <w:rPr>
          <w:noProof/>
          <w:lang w:eastAsia="da-DK"/>
        </w:rPr>
        <w:t>C.</w:t>
      </w:r>
      <w:r w:rsidRPr="00850484">
        <w:rPr>
          <w:noProof/>
          <w:lang w:eastAsia="da-DK"/>
        </w:rPr>
        <w:t>1.</w:t>
      </w:r>
      <w:r>
        <w:rPr>
          <w:noProof/>
          <w:lang w:eastAsia="da-DK"/>
        </w:rPr>
        <w:t xml:space="preserve"> i henhold til fast T2S procedure</w:t>
      </w:r>
      <w:r w:rsidRPr="00850484">
        <w:rPr>
          <w:noProof/>
          <w:lang w:eastAsia="da-DK"/>
        </w:rPr>
        <w:t>)</w:t>
      </w:r>
    </w:p>
    <w:p w14:paraId="0AB28753" w14:textId="34F9FC68" w:rsidR="00A32C77" w:rsidRPr="00C368A0" w:rsidRDefault="00A32C77" w:rsidP="00672870">
      <w:pPr>
        <w:pStyle w:val="Listeafsnit"/>
        <w:numPr>
          <w:ilvl w:val="0"/>
          <w:numId w:val="17"/>
        </w:numPr>
        <w:tabs>
          <w:tab w:val="clear" w:pos="284"/>
        </w:tabs>
        <w:rPr>
          <w:noProof/>
          <w:lang w:eastAsia="da-DK"/>
        </w:rPr>
      </w:pPr>
      <w:r>
        <w:rPr>
          <w:noProof/>
          <w:lang w:eastAsia="da-DK"/>
        </w:rPr>
        <w:t>DVP</w:t>
      </w:r>
      <w:r w:rsidR="0082356B">
        <w:rPr>
          <w:noProof/>
          <w:lang w:eastAsia="da-DK"/>
        </w:rPr>
        <w:t>-</w:t>
      </w:r>
      <w:r>
        <w:rPr>
          <w:noProof/>
          <w:lang w:eastAsia="da-DK"/>
        </w:rPr>
        <w:t>af</w:t>
      </w:r>
      <w:r w:rsidRPr="00F66A6C">
        <w:rPr>
          <w:noProof/>
          <w:lang w:eastAsia="da-DK"/>
        </w:rPr>
        <w:t xml:space="preserve">vikling/FOP flyt </w:t>
      </w:r>
      <w:r w:rsidRPr="00850484">
        <w:rPr>
          <w:noProof/>
          <w:lang w:eastAsia="da-DK"/>
        </w:rPr>
        <w:t xml:space="preserve">mellem </w:t>
      </w:r>
      <w:r>
        <w:rPr>
          <w:noProof/>
          <w:lang w:eastAsia="da-DK"/>
        </w:rPr>
        <w:t xml:space="preserve">kundens segregerede depot i </w:t>
      </w:r>
      <w:r w:rsidRPr="00850484">
        <w:rPr>
          <w:noProof/>
          <w:lang w:eastAsia="da-DK"/>
        </w:rPr>
        <w:t xml:space="preserve">VP </w:t>
      </w:r>
      <w:r>
        <w:rPr>
          <w:noProof/>
          <w:lang w:eastAsia="da-DK"/>
        </w:rPr>
        <w:t xml:space="preserve">og VP </w:t>
      </w:r>
      <w:r w:rsidRPr="00850484">
        <w:rPr>
          <w:noProof/>
          <w:lang w:eastAsia="da-DK"/>
        </w:rPr>
        <w:t xml:space="preserve">(Omnibus på vegne af </w:t>
      </w:r>
      <w:r>
        <w:rPr>
          <w:noProof/>
          <w:lang w:eastAsia="da-DK"/>
        </w:rPr>
        <w:t>k</w:t>
      </w:r>
      <w:r w:rsidRPr="00850484">
        <w:rPr>
          <w:noProof/>
          <w:lang w:eastAsia="da-DK"/>
        </w:rPr>
        <w:t>unden)</w:t>
      </w:r>
    </w:p>
    <w:p w14:paraId="7DFE3119" w14:textId="219FFC4E" w:rsidR="00A32C77" w:rsidRDefault="00A32C77" w:rsidP="00672870">
      <w:pPr>
        <w:pStyle w:val="Listeafsnit"/>
        <w:numPr>
          <w:ilvl w:val="0"/>
          <w:numId w:val="16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 xml:space="preserve">På afviklingsdagen: Pengene trækkes </w:t>
      </w:r>
      <w:r>
        <w:rPr>
          <w:noProof/>
          <w:lang w:eastAsia="da-DK"/>
        </w:rPr>
        <w:t>fra</w:t>
      </w:r>
      <w:r w:rsidRPr="00850484">
        <w:rPr>
          <w:noProof/>
          <w:lang w:eastAsia="da-DK"/>
        </w:rPr>
        <w:t xml:space="preserve">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 xml:space="preserve">ank </w:t>
      </w:r>
      <w:r>
        <w:rPr>
          <w:noProof/>
          <w:lang w:eastAsia="da-DK"/>
        </w:rPr>
        <w:t>Z</w:t>
      </w:r>
      <w:r w:rsidRPr="00850484">
        <w:rPr>
          <w:noProof/>
          <w:lang w:eastAsia="da-DK"/>
        </w:rPr>
        <w:t xml:space="preserve">’s </w:t>
      </w:r>
      <w:r>
        <w:rPr>
          <w:noProof/>
          <w:lang w:eastAsia="da-DK"/>
        </w:rPr>
        <w:t>DCA</w:t>
      </w:r>
      <w:r w:rsidRPr="00850484">
        <w:rPr>
          <w:noProof/>
          <w:lang w:eastAsia="da-DK"/>
        </w:rPr>
        <w:t>-konto</w:t>
      </w:r>
      <w:r>
        <w:rPr>
          <w:noProof/>
          <w:lang w:eastAsia="da-DK"/>
        </w:rPr>
        <w:t xml:space="preserve"> og indsættes på bank Y’s DCA-konto og føres til kundens konto i bank Y</w:t>
      </w:r>
      <w:r w:rsidRPr="00850484">
        <w:rPr>
          <w:noProof/>
          <w:lang w:eastAsia="da-DK"/>
        </w:rPr>
        <w:t xml:space="preserve">. </w:t>
      </w:r>
      <w:r>
        <w:rPr>
          <w:noProof/>
          <w:lang w:eastAsia="da-DK"/>
        </w:rPr>
        <w:t>C.3 og C.2 udføres og papirerne trækkes fra bank Y’s omnibus T2S depot og indsættes på bank Z’s T2S</w:t>
      </w:r>
      <w:r w:rsidR="0082356B">
        <w:rPr>
          <w:noProof/>
          <w:lang w:eastAsia="da-DK"/>
        </w:rPr>
        <w:t>-</w:t>
      </w:r>
      <w:r>
        <w:rPr>
          <w:noProof/>
          <w:lang w:eastAsia="da-DK"/>
        </w:rPr>
        <w:t>depot</w:t>
      </w:r>
      <w:r w:rsidRPr="00850484">
        <w:rPr>
          <w:noProof/>
          <w:lang w:eastAsia="da-DK"/>
        </w:rPr>
        <w:t>.</w:t>
      </w:r>
    </w:p>
    <w:p w14:paraId="1BAE83E5" w14:textId="77777777" w:rsidR="00A32C77" w:rsidRPr="00850484" w:rsidRDefault="00A32C77" w:rsidP="00A32C77">
      <w:pPr>
        <w:rPr>
          <w:noProof/>
          <w:lang w:eastAsia="da-DK"/>
        </w:rPr>
      </w:pPr>
    </w:p>
    <w:p w14:paraId="1106ACC1" w14:textId="77777777" w:rsidR="00A32C77" w:rsidRDefault="00A32C77" w:rsidP="00A32C77">
      <w:pPr>
        <w:spacing w:line="240" w:lineRule="auto"/>
        <w:rPr>
          <w:noProof/>
          <w:lang w:eastAsia="da-DK"/>
        </w:rPr>
      </w:pPr>
      <w:r>
        <w:rPr>
          <w:noProof/>
          <w:lang w:eastAsia="da-DK"/>
        </w:rPr>
        <w:br w:type="page"/>
      </w:r>
    </w:p>
    <w:p w14:paraId="63838DA7" w14:textId="171354F0" w:rsidR="00A32C77" w:rsidRPr="001F2B4F" w:rsidRDefault="00A32C77" w:rsidP="00A32C77">
      <w:pPr>
        <w:rPr>
          <w:b/>
        </w:rPr>
      </w:pPr>
      <w:bookmarkStart w:id="58" w:name="_Ref508194738"/>
      <w:r w:rsidRPr="001F2B4F">
        <w:rPr>
          <w:b/>
        </w:rPr>
        <w:lastRenderedPageBreak/>
        <w:t xml:space="preserve">Figur </w:t>
      </w:r>
      <w:r w:rsidRPr="001F2B4F">
        <w:rPr>
          <w:b/>
        </w:rPr>
        <w:fldChar w:fldCharType="begin"/>
      </w:r>
      <w:r w:rsidRPr="001F2B4F">
        <w:rPr>
          <w:b/>
        </w:rPr>
        <w:instrText xml:space="preserve"> SEQ Figur \* ARABIC </w:instrText>
      </w:r>
      <w:r w:rsidRPr="001F2B4F">
        <w:rPr>
          <w:b/>
        </w:rPr>
        <w:fldChar w:fldCharType="separate"/>
      </w:r>
      <w:r w:rsidR="00EC3ED5">
        <w:rPr>
          <w:b/>
          <w:noProof/>
        </w:rPr>
        <w:t>4</w:t>
      </w:r>
      <w:r w:rsidRPr="001F2B4F">
        <w:rPr>
          <w:b/>
        </w:rPr>
        <w:fldChar w:fldCharType="end"/>
      </w:r>
      <w:bookmarkEnd w:id="58"/>
      <w:r w:rsidRPr="001F2B4F">
        <w:rPr>
          <w:b/>
        </w:rPr>
        <w:t xml:space="preserve">: </w:t>
      </w:r>
      <w:r>
        <w:rPr>
          <w:b/>
        </w:rPr>
        <w:t xml:space="preserve">Bank </w:t>
      </w:r>
      <w:r w:rsidRPr="001F2B4F">
        <w:rPr>
          <w:b/>
          <w:noProof/>
          <w:lang w:eastAsia="da-DK"/>
        </w:rPr>
        <w:t>Y’s kunde sælger til bank Z (kunden har penge og papirer to forskellige steder)</w:t>
      </w:r>
    </w:p>
    <w:p w14:paraId="48DE2280" w14:textId="77777777" w:rsidR="00A32C77" w:rsidRPr="004D218F" w:rsidRDefault="00A32C77" w:rsidP="00A32C77">
      <w:pPr>
        <w:jc w:val="both"/>
        <w:rPr>
          <w:noProof/>
          <w:sz w:val="28"/>
          <w:szCs w:val="28"/>
          <w:lang w:eastAsia="da-DK"/>
        </w:rPr>
      </w:pPr>
      <w:r>
        <w:rPr>
          <w:noProof/>
          <w:lang w:eastAsia="da-DK"/>
        </w:rPr>
        <w:drawing>
          <wp:inline distT="0" distB="0" distL="0" distR="0" wp14:anchorId="4534A677" wp14:editId="0FE2F521">
            <wp:extent cx="4500880" cy="248606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248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E5262" w14:textId="77777777" w:rsidR="00A32C77" w:rsidRPr="00850484" w:rsidRDefault="00A32C77" w:rsidP="00A32C77">
      <w:pPr>
        <w:rPr>
          <w:noProof/>
          <w:lang w:eastAsia="da-DK"/>
        </w:rPr>
      </w:pPr>
      <w:r>
        <w:rPr>
          <w:noProof/>
          <w:lang w:eastAsia="da-DK"/>
        </w:rPr>
        <w:t xml:space="preserve">Udgangspunkt: </w:t>
      </w:r>
      <w:r w:rsidRPr="00850484">
        <w:rPr>
          <w:noProof/>
          <w:lang w:eastAsia="da-DK"/>
        </w:rPr>
        <w:t>Kunden er depot</w:t>
      </w:r>
      <w:r>
        <w:rPr>
          <w:noProof/>
          <w:lang w:eastAsia="da-DK"/>
        </w:rPr>
        <w:t>kunde hos b</w:t>
      </w:r>
      <w:r w:rsidRPr="00F66A6C">
        <w:rPr>
          <w:noProof/>
          <w:lang w:eastAsia="da-DK"/>
        </w:rPr>
        <w:t>ank Y</w:t>
      </w:r>
      <w:r>
        <w:rPr>
          <w:noProof/>
          <w:lang w:eastAsia="da-DK"/>
        </w:rPr>
        <w:t>, men får likviditet fra b</w:t>
      </w:r>
      <w:r w:rsidRPr="00850484">
        <w:rPr>
          <w:noProof/>
          <w:lang w:eastAsia="da-DK"/>
        </w:rPr>
        <w:t>ank X og hand</w:t>
      </w:r>
      <w:r>
        <w:rPr>
          <w:noProof/>
          <w:lang w:eastAsia="da-DK"/>
        </w:rPr>
        <w:t>ler med b</w:t>
      </w:r>
      <w:r w:rsidRPr="00850484">
        <w:rPr>
          <w:noProof/>
          <w:lang w:eastAsia="da-DK"/>
        </w:rPr>
        <w:t>ank Z</w:t>
      </w:r>
      <w:r>
        <w:rPr>
          <w:noProof/>
          <w:lang w:eastAsia="da-DK"/>
        </w:rPr>
        <w:t>.</w:t>
      </w:r>
    </w:p>
    <w:p w14:paraId="480B30D3" w14:textId="2A258FE9" w:rsidR="00A32C77" w:rsidRPr="00850484" w:rsidRDefault="00A32C77" w:rsidP="00672870">
      <w:pPr>
        <w:pStyle w:val="Listeafsnit"/>
        <w:numPr>
          <w:ilvl w:val="0"/>
          <w:numId w:val="12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 xml:space="preserve">Bank Z laver fondsnota, indberetter til skat, </w:t>
      </w:r>
      <w:r>
        <w:rPr>
          <w:noProof/>
          <w:lang w:eastAsia="da-DK"/>
        </w:rPr>
        <w:t>Finans</w:t>
      </w:r>
      <w:r w:rsidRPr="00850484">
        <w:rPr>
          <w:noProof/>
          <w:lang w:eastAsia="da-DK"/>
        </w:rPr>
        <w:t xml:space="preserve">tilsyn og </w:t>
      </w:r>
      <w:r>
        <w:rPr>
          <w:noProof/>
          <w:lang w:eastAsia="da-DK"/>
        </w:rPr>
        <w:t>Nasdaq</w:t>
      </w:r>
      <w:r w:rsidRPr="00850484">
        <w:rPr>
          <w:noProof/>
          <w:lang w:eastAsia="da-DK"/>
        </w:rPr>
        <w:t xml:space="preserve"> (alt vedr</w:t>
      </w:r>
      <w:r w:rsidR="00CB2447">
        <w:rPr>
          <w:noProof/>
          <w:lang w:eastAsia="da-DK"/>
        </w:rPr>
        <w:t xml:space="preserve">ørende </w:t>
      </w:r>
      <w:r w:rsidRPr="00850484">
        <w:rPr>
          <w:noProof/>
          <w:lang w:eastAsia="da-DK"/>
        </w:rPr>
        <w:t>handlen)</w:t>
      </w:r>
    </w:p>
    <w:p w14:paraId="705CE378" w14:textId="77777777" w:rsidR="00A32C77" w:rsidRPr="00850484" w:rsidRDefault="00A32C77" w:rsidP="00672870">
      <w:pPr>
        <w:pStyle w:val="Listeafsnit"/>
        <w:numPr>
          <w:ilvl w:val="0"/>
          <w:numId w:val="12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>Fondsn</w:t>
      </w:r>
      <w:r>
        <w:rPr>
          <w:noProof/>
          <w:lang w:eastAsia="da-DK"/>
        </w:rPr>
        <w:t>otaen lyder på kundens depot i b</w:t>
      </w:r>
      <w:r w:rsidRPr="00850484">
        <w:rPr>
          <w:noProof/>
          <w:lang w:eastAsia="da-DK"/>
        </w:rPr>
        <w:t xml:space="preserve">ank Y og konto i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>ank X</w:t>
      </w:r>
    </w:p>
    <w:p w14:paraId="368F641C" w14:textId="77777777" w:rsidR="00A32C77" w:rsidRPr="00850484" w:rsidRDefault="00A32C77" w:rsidP="00672870">
      <w:pPr>
        <w:pStyle w:val="Listeafsnit"/>
        <w:numPr>
          <w:ilvl w:val="0"/>
          <w:numId w:val="12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 xml:space="preserve">Bank Y frigiver papirer til afvikling </w:t>
      </w:r>
    </w:p>
    <w:p w14:paraId="36006734" w14:textId="7268EEA6" w:rsidR="00A32C77" w:rsidRPr="00850484" w:rsidRDefault="00A32C77" w:rsidP="00672870">
      <w:pPr>
        <w:pStyle w:val="Listeafsnit"/>
        <w:numPr>
          <w:ilvl w:val="0"/>
          <w:numId w:val="12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 xml:space="preserve">På afviklingsdagen: </w:t>
      </w:r>
      <w:r>
        <w:rPr>
          <w:noProof/>
          <w:lang w:eastAsia="da-DK"/>
        </w:rPr>
        <w:t>Afviklingen gennemføres ved, at p</w:t>
      </w:r>
      <w:r w:rsidRPr="00850484">
        <w:rPr>
          <w:noProof/>
          <w:lang w:eastAsia="da-DK"/>
        </w:rPr>
        <w:t xml:space="preserve">apirer trækkes fra kundens </w:t>
      </w:r>
      <w:r>
        <w:rPr>
          <w:noProof/>
          <w:lang w:eastAsia="da-DK"/>
        </w:rPr>
        <w:t>VP</w:t>
      </w:r>
      <w:r w:rsidR="00CB2447">
        <w:rPr>
          <w:noProof/>
          <w:lang w:eastAsia="da-DK"/>
        </w:rPr>
        <w:t>-</w:t>
      </w:r>
      <w:r w:rsidRPr="00850484">
        <w:rPr>
          <w:noProof/>
          <w:lang w:eastAsia="da-DK"/>
        </w:rPr>
        <w:t xml:space="preserve">depot og overføres til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>ank Z</w:t>
      </w:r>
      <w:r>
        <w:rPr>
          <w:noProof/>
          <w:lang w:eastAsia="da-DK"/>
        </w:rPr>
        <w:t>’</w:t>
      </w:r>
      <w:r w:rsidRPr="00850484">
        <w:rPr>
          <w:noProof/>
          <w:lang w:eastAsia="da-DK"/>
        </w:rPr>
        <w:t>s depot med egenbeholdning samtidig med</w:t>
      </w:r>
      <w:r w:rsidR="00705000">
        <w:rPr>
          <w:noProof/>
          <w:lang w:eastAsia="da-DK"/>
        </w:rPr>
        <w:t>,</w:t>
      </w:r>
      <w:r w:rsidRPr="00850484">
        <w:rPr>
          <w:noProof/>
          <w:lang w:eastAsia="da-DK"/>
        </w:rPr>
        <w:t xml:space="preserve"> at pengene overføres fra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>ank Z</w:t>
      </w:r>
      <w:r>
        <w:rPr>
          <w:noProof/>
          <w:lang w:eastAsia="da-DK"/>
        </w:rPr>
        <w:t>’</w:t>
      </w:r>
      <w:r w:rsidRPr="00850484">
        <w:rPr>
          <w:noProof/>
          <w:lang w:eastAsia="da-DK"/>
        </w:rPr>
        <w:t xml:space="preserve">s </w:t>
      </w:r>
      <w:r>
        <w:rPr>
          <w:noProof/>
          <w:lang w:eastAsia="da-DK"/>
        </w:rPr>
        <w:t>n</w:t>
      </w:r>
      <w:r w:rsidRPr="00850484">
        <w:rPr>
          <w:noProof/>
          <w:lang w:eastAsia="da-DK"/>
        </w:rPr>
        <w:t xml:space="preserve">ationalbankkonto til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 xml:space="preserve">ank X’s </w:t>
      </w:r>
      <w:r>
        <w:rPr>
          <w:noProof/>
          <w:lang w:eastAsia="da-DK"/>
        </w:rPr>
        <w:t>n</w:t>
      </w:r>
      <w:r w:rsidRPr="00850484">
        <w:rPr>
          <w:noProof/>
          <w:lang w:eastAsia="da-DK"/>
        </w:rPr>
        <w:t>ationalbankkonto</w:t>
      </w:r>
      <w:r>
        <w:rPr>
          <w:noProof/>
          <w:lang w:eastAsia="da-DK"/>
        </w:rPr>
        <w:t xml:space="preserve"> (dvs. afvikling sker DVP)</w:t>
      </w:r>
      <w:r w:rsidRPr="00850484">
        <w:rPr>
          <w:noProof/>
          <w:lang w:eastAsia="da-DK"/>
        </w:rPr>
        <w:t xml:space="preserve">, hvorefter pengene bogføres på kundens konto i </w:t>
      </w:r>
      <w:r>
        <w:rPr>
          <w:noProof/>
          <w:lang w:eastAsia="da-DK"/>
        </w:rPr>
        <w:t>b</w:t>
      </w:r>
      <w:r w:rsidRPr="00850484">
        <w:rPr>
          <w:noProof/>
          <w:lang w:eastAsia="da-DK"/>
        </w:rPr>
        <w:t>ank X.</w:t>
      </w:r>
    </w:p>
    <w:p w14:paraId="48841859" w14:textId="77777777" w:rsidR="00A32C77" w:rsidRPr="00E13D68" w:rsidRDefault="00A32C77" w:rsidP="00A32C77">
      <w:pPr>
        <w:rPr>
          <w:noProof/>
          <w:lang w:eastAsia="da-DK"/>
        </w:rPr>
      </w:pPr>
    </w:p>
    <w:p w14:paraId="0EA6DBBC" w14:textId="77777777" w:rsidR="00A32C77" w:rsidRDefault="00A32C77" w:rsidP="00A32C77">
      <w:pPr>
        <w:spacing w:line="240" w:lineRule="auto"/>
        <w:rPr>
          <w:b/>
        </w:rPr>
      </w:pPr>
      <w:r>
        <w:rPr>
          <w:b/>
        </w:rPr>
        <w:br w:type="page"/>
      </w:r>
    </w:p>
    <w:p w14:paraId="32488720" w14:textId="1CDD0089" w:rsidR="00A32C77" w:rsidRPr="001F2B4F" w:rsidRDefault="00A32C77" w:rsidP="00A32C77">
      <w:pPr>
        <w:rPr>
          <w:b/>
          <w:noProof/>
          <w:lang w:eastAsia="da-DK"/>
        </w:rPr>
      </w:pPr>
      <w:bookmarkStart w:id="59" w:name="_Ref506989353"/>
      <w:r w:rsidRPr="001F2B4F">
        <w:rPr>
          <w:b/>
        </w:rPr>
        <w:lastRenderedPageBreak/>
        <w:t xml:space="preserve">Figur </w:t>
      </w:r>
      <w:r w:rsidRPr="001F2B4F">
        <w:rPr>
          <w:b/>
        </w:rPr>
        <w:fldChar w:fldCharType="begin"/>
      </w:r>
      <w:r w:rsidRPr="001F2B4F">
        <w:rPr>
          <w:b/>
        </w:rPr>
        <w:instrText xml:space="preserve"> SEQ Figur \* ARABIC </w:instrText>
      </w:r>
      <w:r w:rsidRPr="001F2B4F">
        <w:rPr>
          <w:b/>
        </w:rPr>
        <w:fldChar w:fldCharType="separate"/>
      </w:r>
      <w:r w:rsidR="00EC3ED5">
        <w:rPr>
          <w:b/>
          <w:noProof/>
        </w:rPr>
        <w:t>5</w:t>
      </w:r>
      <w:r w:rsidRPr="001F2B4F">
        <w:rPr>
          <w:b/>
        </w:rPr>
        <w:fldChar w:fldCharType="end"/>
      </w:r>
      <w:bookmarkEnd w:id="59"/>
      <w:r>
        <w:rPr>
          <w:b/>
        </w:rPr>
        <w:t>:</w:t>
      </w:r>
      <w:r w:rsidRPr="001F2B4F">
        <w:rPr>
          <w:b/>
          <w:noProof/>
          <w:lang w:eastAsia="da-DK"/>
        </w:rPr>
        <w:t xml:space="preserve"> </w:t>
      </w:r>
      <w:r>
        <w:rPr>
          <w:b/>
          <w:noProof/>
          <w:lang w:eastAsia="da-DK"/>
        </w:rPr>
        <w:t xml:space="preserve">Bank </w:t>
      </w:r>
      <w:r w:rsidRPr="001F2B4F">
        <w:rPr>
          <w:b/>
          <w:noProof/>
          <w:lang w:eastAsia="da-DK"/>
        </w:rPr>
        <w:t>Y’s kunde sælger til bank Z (Z har VP handelsfuldmagt)</w:t>
      </w:r>
    </w:p>
    <w:p w14:paraId="2374A993" w14:textId="77777777" w:rsidR="00A32C77" w:rsidRPr="00E13D68" w:rsidRDefault="00A32C77" w:rsidP="00A32C77">
      <w:pPr>
        <w:jc w:val="both"/>
        <w:rPr>
          <w:noProof/>
          <w:sz w:val="28"/>
          <w:szCs w:val="28"/>
          <w:lang w:eastAsia="da-DK"/>
        </w:rPr>
      </w:pPr>
      <w:r>
        <w:rPr>
          <w:noProof/>
          <w:lang w:eastAsia="da-DK"/>
        </w:rPr>
        <w:drawing>
          <wp:inline distT="0" distB="0" distL="0" distR="0" wp14:anchorId="10E2BAEC" wp14:editId="6529B198">
            <wp:extent cx="4500880" cy="248269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248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A22CD" w14:textId="77777777" w:rsidR="00A32C77" w:rsidRPr="00850484" w:rsidRDefault="00A32C77" w:rsidP="00A32C77">
      <w:pPr>
        <w:rPr>
          <w:noProof/>
          <w:lang w:eastAsia="da-DK"/>
        </w:rPr>
      </w:pPr>
      <w:r>
        <w:rPr>
          <w:noProof/>
          <w:lang w:eastAsia="da-DK"/>
        </w:rPr>
        <w:t>Udgangspunkt: Kunden er kunde hos bank Y, men handler med b</w:t>
      </w:r>
      <w:r w:rsidRPr="00850484">
        <w:rPr>
          <w:noProof/>
          <w:lang w:eastAsia="da-DK"/>
        </w:rPr>
        <w:t>ank Z</w:t>
      </w:r>
      <w:r>
        <w:rPr>
          <w:noProof/>
          <w:lang w:eastAsia="da-DK"/>
        </w:rPr>
        <w:t>, og bank Z har handelsfuldmagt.</w:t>
      </w:r>
      <w:r w:rsidRPr="00850484">
        <w:rPr>
          <w:noProof/>
          <w:lang w:eastAsia="da-DK"/>
        </w:rPr>
        <w:t xml:space="preserve"> </w:t>
      </w:r>
    </w:p>
    <w:p w14:paraId="2D35E75E" w14:textId="684360EF" w:rsidR="00A32C77" w:rsidRPr="00850484" w:rsidRDefault="00A32C77" w:rsidP="00672870">
      <w:pPr>
        <w:pStyle w:val="Listeafsnit"/>
        <w:numPr>
          <w:ilvl w:val="0"/>
          <w:numId w:val="9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 xml:space="preserve">Bank Z laver fondsnota, indberetter til </w:t>
      </w:r>
      <w:r>
        <w:rPr>
          <w:noProof/>
          <w:lang w:eastAsia="da-DK"/>
        </w:rPr>
        <w:t>Skat, Finans</w:t>
      </w:r>
      <w:r w:rsidRPr="00850484">
        <w:rPr>
          <w:noProof/>
          <w:lang w:eastAsia="da-DK"/>
        </w:rPr>
        <w:t xml:space="preserve">tilsyn og </w:t>
      </w:r>
      <w:r>
        <w:rPr>
          <w:noProof/>
          <w:lang w:eastAsia="da-DK"/>
        </w:rPr>
        <w:t>Nasdaq</w:t>
      </w:r>
      <w:r w:rsidRPr="00850484">
        <w:rPr>
          <w:noProof/>
          <w:lang w:eastAsia="da-DK"/>
        </w:rPr>
        <w:t xml:space="preserve"> </w:t>
      </w:r>
      <w:r>
        <w:rPr>
          <w:noProof/>
          <w:lang w:eastAsia="da-DK"/>
        </w:rPr>
        <w:t>(</w:t>
      </w:r>
      <w:r w:rsidRPr="00850484">
        <w:rPr>
          <w:noProof/>
          <w:lang w:eastAsia="da-DK"/>
        </w:rPr>
        <w:t>alt vedr</w:t>
      </w:r>
      <w:r w:rsidR="00705000">
        <w:rPr>
          <w:noProof/>
          <w:lang w:eastAsia="da-DK"/>
        </w:rPr>
        <w:t>ørende</w:t>
      </w:r>
      <w:r w:rsidRPr="00850484">
        <w:rPr>
          <w:noProof/>
          <w:lang w:eastAsia="da-DK"/>
        </w:rPr>
        <w:t xml:space="preserve"> handlen)</w:t>
      </w:r>
    </w:p>
    <w:p w14:paraId="07F9D346" w14:textId="77777777" w:rsidR="00A32C77" w:rsidRPr="00850484" w:rsidRDefault="00A32C77" w:rsidP="00672870">
      <w:pPr>
        <w:pStyle w:val="Listeafsnit"/>
        <w:numPr>
          <w:ilvl w:val="0"/>
          <w:numId w:val="9"/>
        </w:numPr>
        <w:tabs>
          <w:tab w:val="clear" w:pos="284"/>
        </w:tabs>
        <w:rPr>
          <w:noProof/>
          <w:lang w:eastAsia="da-DK"/>
        </w:rPr>
      </w:pPr>
      <w:r>
        <w:rPr>
          <w:noProof/>
          <w:lang w:eastAsia="da-DK"/>
        </w:rPr>
        <w:t xml:space="preserve">Bank Z danner </w:t>
      </w:r>
      <w:r w:rsidRPr="00850484">
        <w:rPr>
          <w:noProof/>
          <w:lang w:eastAsia="da-DK"/>
        </w:rPr>
        <w:t xml:space="preserve">2 x </w:t>
      </w:r>
      <w:r>
        <w:rPr>
          <w:noProof/>
          <w:lang w:eastAsia="da-DK"/>
        </w:rPr>
        <w:t>p</w:t>
      </w:r>
      <w:r w:rsidRPr="00850484">
        <w:rPr>
          <w:noProof/>
          <w:lang w:eastAsia="da-DK"/>
        </w:rPr>
        <w:t>readvice (</w:t>
      </w:r>
      <w:r>
        <w:rPr>
          <w:noProof/>
          <w:lang w:eastAsia="da-DK"/>
        </w:rPr>
        <w:t xml:space="preserve">dvs. </w:t>
      </w:r>
      <w:r w:rsidRPr="00850484">
        <w:rPr>
          <w:noProof/>
          <w:lang w:eastAsia="da-DK"/>
        </w:rPr>
        <w:t>begge ben)</w:t>
      </w:r>
      <w:r>
        <w:rPr>
          <w:noProof/>
          <w:lang w:eastAsia="da-DK"/>
        </w:rPr>
        <w:t xml:space="preserve">, som </w:t>
      </w:r>
      <w:r w:rsidRPr="00850484">
        <w:rPr>
          <w:noProof/>
          <w:lang w:eastAsia="da-DK"/>
        </w:rPr>
        <w:t>sendes til VP</w:t>
      </w:r>
    </w:p>
    <w:p w14:paraId="162ADAE8" w14:textId="77777777" w:rsidR="00A32C77" w:rsidRDefault="00A32C77" w:rsidP="00672870">
      <w:pPr>
        <w:pStyle w:val="Listeafsnit"/>
        <w:numPr>
          <w:ilvl w:val="0"/>
          <w:numId w:val="9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>Fondsnotaen lyd</w:t>
      </w:r>
      <w:r>
        <w:rPr>
          <w:noProof/>
          <w:lang w:eastAsia="da-DK"/>
        </w:rPr>
        <w:t>er på kundens depot og konto i b</w:t>
      </w:r>
      <w:r w:rsidRPr="00850484">
        <w:rPr>
          <w:noProof/>
          <w:lang w:eastAsia="da-DK"/>
        </w:rPr>
        <w:t>ank Y</w:t>
      </w:r>
    </w:p>
    <w:p w14:paraId="051CABC9" w14:textId="5544D1C5" w:rsidR="00A32C77" w:rsidRDefault="00A32C77" w:rsidP="00672870">
      <w:pPr>
        <w:pStyle w:val="Listeafsnit"/>
        <w:numPr>
          <w:ilvl w:val="0"/>
          <w:numId w:val="9"/>
        </w:numPr>
        <w:tabs>
          <w:tab w:val="clear" w:pos="284"/>
        </w:tabs>
        <w:rPr>
          <w:noProof/>
          <w:lang w:eastAsia="da-DK"/>
        </w:rPr>
      </w:pPr>
      <w:r w:rsidRPr="00850484">
        <w:rPr>
          <w:noProof/>
          <w:lang w:eastAsia="da-DK"/>
        </w:rPr>
        <w:t xml:space="preserve">På afviklingsdagen: </w:t>
      </w:r>
      <w:r>
        <w:rPr>
          <w:noProof/>
          <w:lang w:eastAsia="da-DK"/>
        </w:rPr>
        <w:t>Afviklingen gennemføres ved, at p</w:t>
      </w:r>
      <w:r w:rsidRPr="00850484">
        <w:rPr>
          <w:noProof/>
          <w:lang w:eastAsia="da-DK"/>
        </w:rPr>
        <w:t xml:space="preserve">enge trækkes </w:t>
      </w:r>
      <w:r>
        <w:rPr>
          <w:noProof/>
          <w:lang w:eastAsia="da-DK"/>
        </w:rPr>
        <w:t>fra bank Z’s n</w:t>
      </w:r>
      <w:r w:rsidRPr="00850484">
        <w:rPr>
          <w:noProof/>
          <w:lang w:eastAsia="da-DK"/>
        </w:rPr>
        <w:t xml:space="preserve">ationalbankkonto </w:t>
      </w:r>
      <w:r>
        <w:rPr>
          <w:noProof/>
          <w:lang w:eastAsia="da-DK"/>
        </w:rPr>
        <w:t>og indsættes på b</w:t>
      </w:r>
      <w:r w:rsidRPr="00850484">
        <w:rPr>
          <w:noProof/>
          <w:lang w:eastAsia="da-DK"/>
        </w:rPr>
        <w:t xml:space="preserve">ank Y’s </w:t>
      </w:r>
      <w:r>
        <w:rPr>
          <w:noProof/>
          <w:lang w:eastAsia="da-DK"/>
        </w:rPr>
        <w:t>n</w:t>
      </w:r>
      <w:r w:rsidRPr="00850484">
        <w:rPr>
          <w:noProof/>
          <w:lang w:eastAsia="da-DK"/>
        </w:rPr>
        <w:t>ationalbankkonto samtidig med</w:t>
      </w:r>
      <w:r w:rsidR="00705000">
        <w:rPr>
          <w:noProof/>
          <w:lang w:eastAsia="da-DK"/>
        </w:rPr>
        <w:t>,</w:t>
      </w:r>
      <w:r w:rsidRPr="00850484">
        <w:rPr>
          <w:noProof/>
          <w:lang w:eastAsia="da-DK"/>
        </w:rPr>
        <w:t xml:space="preserve"> at papirerne overføres fra kundens depot</w:t>
      </w:r>
      <w:r>
        <w:rPr>
          <w:noProof/>
          <w:lang w:eastAsia="da-DK"/>
        </w:rPr>
        <w:t xml:space="preserve"> i bank Y</w:t>
      </w:r>
      <w:r w:rsidRPr="00850484">
        <w:rPr>
          <w:noProof/>
          <w:lang w:eastAsia="da-DK"/>
        </w:rPr>
        <w:t xml:space="preserve"> til </w:t>
      </w:r>
      <w:r>
        <w:rPr>
          <w:noProof/>
          <w:lang w:eastAsia="da-DK"/>
        </w:rPr>
        <w:t>bank Z’s depot med egenbeholdsning</w:t>
      </w:r>
      <w:r w:rsidRPr="00850484">
        <w:rPr>
          <w:noProof/>
          <w:lang w:eastAsia="da-DK"/>
        </w:rPr>
        <w:t xml:space="preserve"> (dvs. </w:t>
      </w:r>
      <w:r>
        <w:rPr>
          <w:noProof/>
          <w:lang w:eastAsia="da-DK"/>
        </w:rPr>
        <w:t>afvikling sker DVP</w:t>
      </w:r>
      <w:r w:rsidRPr="00850484">
        <w:rPr>
          <w:noProof/>
          <w:lang w:eastAsia="da-DK"/>
        </w:rPr>
        <w:t>)</w:t>
      </w:r>
      <w:r>
        <w:rPr>
          <w:noProof/>
          <w:lang w:eastAsia="da-DK"/>
        </w:rPr>
        <w:t>, hvorefter pengene bogføres pengene på kundens konto i bank Y</w:t>
      </w:r>
      <w:r w:rsidRPr="00850484">
        <w:rPr>
          <w:noProof/>
          <w:lang w:eastAsia="da-DK"/>
        </w:rPr>
        <w:t>.</w:t>
      </w:r>
    </w:p>
    <w:p w14:paraId="37F6E5A8" w14:textId="77777777" w:rsidR="00A32C77" w:rsidRDefault="00A32C77" w:rsidP="00A32C77">
      <w:pPr>
        <w:rPr>
          <w:noProof/>
          <w:lang w:eastAsia="da-DK"/>
        </w:rPr>
      </w:pPr>
    </w:p>
    <w:p w14:paraId="15D53B3F" w14:textId="77777777" w:rsidR="00A32C77" w:rsidRDefault="00A32C77" w:rsidP="00A32C77">
      <w:pPr>
        <w:spacing w:line="240" w:lineRule="auto"/>
        <w:rPr>
          <w:b/>
          <w:noProof/>
          <w:lang w:eastAsia="da-DK"/>
        </w:rPr>
      </w:pPr>
      <w:r>
        <w:rPr>
          <w:b/>
          <w:noProof/>
          <w:lang w:eastAsia="da-DK"/>
        </w:rPr>
        <w:br w:type="page"/>
      </w:r>
    </w:p>
    <w:p w14:paraId="304E91DD" w14:textId="6BFFA80D" w:rsidR="00A32C77" w:rsidRPr="001F2B4F" w:rsidRDefault="00A32C77" w:rsidP="00A32C77">
      <w:pPr>
        <w:rPr>
          <w:b/>
          <w:lang w:eastAsia="da-DK"/>
        </w:rPr>
      </w:pPr>
      <w:bookmarkStart w:id="60" w:name="_Ref506989456"/>
      <w:r w:rsidRPr="001F2B4F">
        <w:rPr>
          <w:b/>
        </w:rPr>
        <w:lastRenderedPageBreak/>
        <w:t xml:space="preserve">Figur </w:t>
      </w:r>
      <w:r w:rsidRPr="001F2B4F">
        <w:rPr>
          <w:b/>
        </w:rPr>
        <w:fldChar w:fldCharType="begin"/>
      </w:r>
      <w:r w:rsidRPr="001F2B4F">
        <w:rPr>
          <w:b/>
        </w:rPr>
        <w:instrText xml:space="preserve"> SEQ Figur \* ARABIC </w:instrText>
      </w:r>
      <w:r w:rsidRPr="001F2B4F">
        <w:rPr>
          <w:b/>
        </w:rPr>
        <w:fldChar w:fldCharType="separate"/>
      </w:r>
      <w:r w:rsidR="00EC3ED5">
        <w:rPr>
          <w:b/>
          <w:noProof/>
        </w:rPr>
        <w:t>6</w:t>
      </w:r>
      <w:r w:rsidRPr="001F2B4F">
        <w:rPr>
          <w:b/>
        </w:rPr>
        <w:fldChar w:fldCharType="end"/>
      </w:r>
      <w:bookmarkEnd w:id="60"/>
      <w:r w:rsidRPr="001F2B4F">
        <w:rPr>
          <w:b/>
        </w:rPr>
        <w:t>:</w:t>
      </w:r>
      <w:r w:rsidRPr="001F2B4F">
        <w:rPr>
          <w:b/>
          <w:noProof/>
          <w:lang w:eastAsia="da-DK"/>
        </w:rPr>
        <w:t xml:space="preserve"> </w:t>
      </w:r>
      <w:r>
        <w:rPr>
          <w:b/>
          <w:noProof/>
          <w:lang w:eastAsia="da-DK"/>
        </w:rPr>
        <w:t xml:space="preserve">Bank </w:t>
      </w:r>
      <w:r w:rsidRPr="001F2B4F">
        <w:rPr>
          <w:b/>
          <w:noProof/>
          <w:lang w:eastAsia="da-DK"/>
        </w:rPr>
        <w:t xml:space="preserve">Z’s kunde har depot hos </w:t>
      </w:r>
      <w:r>
        <w:rPr>
          <w:b/>
          <w:noProof/>
          <w:lang w:eastAsia="da-DK"/>
        </w:rPr>
        <w:t xml:space="preserve">bank </w:t>
      </w:r>
      <w:r w:rsidRPr="001F2B4F">
        <w:rPr>
          <w:b/>
          <w:noProof/>
          <w:lang w:eastAsia="da-DK"/>
        </w:rPr>
        <w:t>Z og sælger til</w:t>
      </w:r>
      <w:r>
        <w:rPr>
          <w:b/>
          <w:noProof/>
          <w:lang w:eastAsia="da-DK"/>
        </w:rPr>
        <w:t xml:space="preserve"> bank</w:t>
      </w:r>
      <w:r w:rsidRPr="001F2B4F">
        <w:rPr>
          <w:b/>
          <w:noProof/>
          <w:lang w:eastAsia="da-DK"/>
        </w:rPr>
        <w:t xml:space="preserve"> Z – og har konto hos </w:t>
      </w:r>
      <w:r>
        <w:rPr>
          <w:b/>
          <w:noProof/>
          <w:lang w:eastAsia="da-DK"/>
        </w:rPr>
        <w:t>b</w:t>
      </w:r>
      <w:r w:rsidRPr="001F2B4F">
        <w:rPr>
          <w:b/>
          <w:noProof/>
          <w:lang w:eastAsia="da-DK"/>
        </w:rPr>
        <w:t>ank Y</w:t>
      </w:r>
    </w:p>
    <w:p w14:paraId="513EAB0B" w14:textId="77777777" w:rsidR="00A32C77" w:rsidRDefault="00A32C77" w:rsidP="00A32C77">
      <w:pPr>
        <w:spacing w:line="240" w:lineRule="auto"/>
      </w:pPr>
      <w:r>
        <w:rPr>
          <w:noProof/>
          <w:lang w:eastAsia="da-DK"/>
        </w:rPr>
        <w:drawing>
          <wp:inline distT="0" distB="0" distL="0" distR="0" wp14:anchorId="0B8F0776" wp14:editId="091DFB49">
            <wp:extent cx="4500880" cy="2778428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277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A414" w14:textId="77777777" w:rsidR="00A32C77" w:rsidRDefault="00A32C77" w:rsidP="00A32C77">
      <w:pPr>
        <w:spacing w:line="240" w:lineRule="auto"/>
      </w:pPr>
    </w:p>
    <w:p w14:paraId="3A87805D" w14:textId="4C304822" w:rsidR="00A32C77" w:rsidRPr="0042225A" w:rsidRDefault="00A32C77" w:rsidP="00A32C77">
      <w:r>
        <w:t>Udgangspunkt: Kunden er depotkunde hos bank Z, og handler med b</w:t>
      </w:r>
      <w:r w:rsidRPr="0042225A">
        <w:t>ank Z, men får li</w:t>
      </w:r>
      <w:r>
        <w:t>kviditet fra b</w:t>
      </w:r>
      <w:r w:rsidRPr="0042225A">
        <w:t>ank Y</w:t>
      </w:r>
      <w:r>
        <w:t>.</w:t>
      </w:r>
    </w:p>
    <w:p w14:paraId="7B54353E" w14:textId="46787C97" w:rsidR="00A32C77" w:rsidRPr="0042225A" w:rsidRDefault="00A32C77" w:rsidP="00672870">
      <w:pPr>
        <w:pStyle w:val="Listeafsnit"/>
        <w:numPr>
          <w:ilvl w:val="0"/>
          <w:numId w:val="15"/>
        </w:numPr>
        <w:tabs>
          <w:tab w:val="clear" w:pos="284"/>
        </w:tabs>
      </w:pPr>
      <w:r w:rsidRPr="0042225A">
        <w:t xml:space="preserve">Bank Z laver fondsnota, indberetter til skat, </w:t>
      </w:r>
      <w:r>
        <w:rPr>
          <w:noProof/>
          <w:lang w:eastAsia="da-DK"/>
        </w:rPr>
        <w:t>Finans</w:t>
      </w:r>
      <w:r w:rsidRPr="00850484">
        <w:rPr>
          <w:noProof/>
          <w:lang w:eastAsia="da-DK"/>
        </w:rPr>
        <w:t xml:space="preserve">tilsyn og </w:t>
      </w:r>
      <w:r>
        <w:rPr>
          <w:noProof/>
          <w:lang w:eastAsia="da-DK"/>
        </w:rPr>
        <w:t>Nasdaq</w:t>
      </w:r>
      <w:r w:rsidRPr="00850484">
        <w:rPr>
          <w:noProof/>
          <w:lang w:eastAsia="da-DK"/>
        </w:rPr>
        <w:t xml:space="preserve"> </w:t>
      </w:r>
      <w:r w:rsidRPr="0042225A">
        <w:t>(alt ved</w:t>
      </w:r>
      <w:r w:rsidR="00705000">
        <w:t xml:space="preserve">rørende </w:t>
      </w:r>
      <w:r w:rsidRPr="0042225A">
        <w:t>handlen)</w:t>
      </w:r>
    </w:p>
    <w:p w14:paraId="688B73F9" w14:textId="77777777" w:rsidR="00A32C77" w:rsidRPr="0042225A" w:rsidRDefault="00A32C77" w:rsidP="00672870">
      <w:pPr>
        <w:pStyle w:val="Listeafsnit"/>
        <w:numPr>
          <w:ilvl w:val="0"/>
          <w:numId w:val="15"/>
        </w:numPr>
        <w:tabs>
          <w:tab w:val="clear" w:pos="284"/>
        </w:tabs>
      </w:pPr>
      <w:r w:rsidRPr="0042225A">
        <w:t>Fondsn</w:t>
      </w:r>
      <w:r>
        <w:t>otaen lyder på kundens depot i b</w:t>
      </w:r>
      <w:r w:rsidRPr="0042225A">
        <w:t xml:space="preserve">ank Z og konto i </w:t>
      </w:r>
      <w:r>
        <w:t>b</w:t>
      </w:r>
      <w:r w:rsidRPr="0042225A">
        <w:t>ank Y</w:t>
      </w:r>
    </w:p>
    <w:p w14:paraId="48ECF963" w14:textId="668A4EAF" w:rsidR="00A32C77" w:rsidRPr="0042225A" w:rsidRDefault="00A32C77" w:rsidP="00672870">
      <w:pPr>
        <w:pStyle w:val="Listeafsnit"/>
        <w:numPr>
          <w:ilvl w:val="0"/>
          <w:numId w:val="15"/>
        </w:numPr>
        <w:tabs>
          <w:tab w:val="clear" w:pos="284"/>
        </w:tabs>
      </w:pPr>
      <w:r w:rsidRPr="0042225A">
        <w:t xml:space="preserve">På afviklingsdagen: Afviklingen gennemføres ved, at papirer trækkes fra kundens depot og overføres til </w:t>
      </w:r>
      <w:r>
        <w:t>b</w:t>
      </w:r>
      <w:r w:rsidRPr="0042225A">
        <w:t xml:space="preserve">ank </w:t>
      </w:r>
      <w:proofErr w:type="spellStart"/>
      <w:r w:rsidRPr="0042225A">
        <w:t>Z</w:t>
      </w:r>
      <w:r>
        <w:t>’</w:t>
      </w:r>
      <w:r w:rsidRPr="0042225A">
        <w:t>s</w:t>
      </w:r>
      <w:proofErr w:type="spellEnd"/>
      <w:r w:rsidRPr="0042225A">
        <w:t xml:space="preserve"> depot med </w:t>
      </w:r>
      <w:proofErr w:type="spellStart"/>
      <w:r w:rsidRPr="0042225A">
        <w:t>egenbeholdning</w:t>
      </w:r>
      <w:proofErr w:type="spellEnd"/>
      <w:r w:rsidRPr="0042225A">
        <w:t xml:space="preserve"> samtidi</w:t>
      </w:r>
      <w:r>
        <w:t>g med</w:t>
      </w:r>
      <w:r w:rsidR="00705000">
        <w:t>,</w:t>
      </w:r>
      <w:r>
        <w:t xml:space="preserve"> at pengene overføres fra b</w:t>
      </w:r>
      <w:r w:rsidRPr="0042225A">
        <w:t xml:space="preserve">ank </w:t>
      </w:r>
      <w:proofErr w:type="spellStart"/>
      <w:r w:rsidRPr="0042225A">
        <w:t>Z</w:t>
      </w:r>
      <w:r>
        <w:t>’</w:t>
      </w:r>
      <w:r w:rsidRPr="0042225A">
        <w:t>s</w:t>
      </w:r>
      <w:proofErr w:type="spellEnd"/>
      <w:r w:rsidRPr="0042225A">
        <w:t xml:space="preserve"> </w:t>
      </w:r>
      <w:r>
        <w:t>n</w:t>
      </w:r>
      <w:r w:rsidRPr="0042225A">
        <w:t xml:space="preserve">ationalbankkonto til </w:t>
      </w:r>
      <w:r>
        <w:t>b</w:t>
      </w:r>
      <w:r w:rsidRPr="0042225A">
        <w:t xml:space="preserve">ank Y’s </w:t>
      </w:r>
      <w:r>
        <w:t>n</w:t>
      </w:r>
      <w:r w:rsidRPr="0042225A">
        <w:t xml:space="preserve">ationalbankkonto (dvs. afvikling sker DVP), hvorefter pengene bogføres på kundens konto i </w:t>
      </w:r>
      <w:r>
        <w:t>b</w:t>
      </w:r>
      <w:r w:rsidRPr="0042225A">
        <w:t>ank Y.</w:t>
      </w:r>
    </w:p>
    <w:p w14:paraId="46283450" w14:textId="77777777" w:rsidR="00A32C77" w:rsidRDefault="00A32C77" w:rsidP="00A32C77"/>
    <w:p w14:paraId="0F6BC9BE" w14:textId="42B0402B" w:rsidR="00A32C77" w:rsidRPr="0042225A" w:rsidRDefault="00A32C77" w:rsidP="00A32C77">
      <w:proofErr w:type="spellStart"/>
      <w:r>
        <w:t>Bem</w:t>
      </w:r>
      <w:proofErr w:type="spellEnd"/>
      <w:r w:rsidR="00705000">
        <w:t>.:</w:t>
      </w:r>
      <w:r>
        <w:t xml:space="preserve"> </w:t>
      </w:r>
      <w:r w:rsidRPr="0042225A">
        <w:t>Hvis kunden havde købt</w:t>
      </w:r>
      <w:r w:rsidR="00705000">
        <w:t>,</w:t>
      </w:r>
      <w:r w:rsidRPr="0042225A">
        <w:t xml:space="preserve"> skulle </w:t>
      </w:r>
      <w:r>
        <w:t>b</w:t>
      </w:r>
      <w:r w:rsidRPr="0042225A">
        <w:t xml:space="preserve">ank Y frigive penge til afvikling til </w:t>
      </w:r>
      <w:r>
        <w:t>b</w:t>
      </w:r>
      <w:r w:rsidRPr="0042225A">
        <w:t>ank Z.</w:t>
      </w:r>
    </w:p>
    <w:p w14:paraId="352727FC" w14:textId="77777777" w:rsidR="00A32C77" w:rsidRDefault="00A32C77" w:rsidP="00A32C77">
      <w:pPr>
        <w:spacing w:line="240" w:lineRule="auto"/>
        <w:rPr>
          <w:noProof/>
          <w:lang w:eastAsia="da-DK"/>
        </w:rPr>
      </w:pPr>
    </w:p>
    <w:p w14:paraId="64C19682" w14:textId="35ECF9B4" w:rsidR="00A527B7" w:rsidRDefault="00A527B7" w:rsidP="00A527B7"/>
    <w:p w14:paraId="71B7E4BF" w14:textId="77777777" w:rsidR="00F35DFE" w:rsidRPr="00B824A3" w:rsidRDefault="00F35DFE" w:rsidP="00B824A3">
      <w:pPr>
        <w:tabs>
          <w:tab w:val="clear" w:pos="284"/>
        </w:tabs>
        <w:spacing w:line="240" w:lineRule="auto"/>
      </w:pPr>
    </w:p>
    <w:sectPr w:rsidR="00F35DFE" w:rsidRPr="00B824A3" w:rsidSect="00417F1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631" w:right="368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88F2" w14:textId="77777777" w:rsidR="00B22AC7" w:rsidRDefault="00B22AC7">
      <w:r>
        <w:separator/>
      </w:r>
    </w:p>
  </w:endnote>
  <w:endnote w:type="continuationSeparator" w:id="0">
    <w:p w14:paraId="001E95B8" w14:textId="77777777" w:rsidR="00B22AC7" w:rsidRDefault="00B22AC7">
      <w:r>
        <w:continuationSeparator/>
      </w:r>
    </w:p>
  </w:endnote>
  <w:endnote w:type="continuationNotice" w:id="1">
    <w:p w14:paraId="4C758BB1" w14:textId="77777777" w:rsidR="00B22AC7" w:rsidRDefault="00B22A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alian Plate No2 Expanded">
    <w:altName w:val="Calibri"/>
    <w:panose1 w:val="020B05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F079" w14:textId="77777777" w:rsidR="00A527B7" w:rsidRDefault="00A527B7" w:rsidP="0033441B">
    <w:pPr>
      <w:pStyle w:val="FiDa-RammeSidefodog-hoved"/>
      <w:tabs>
        <w:tab w:val="clear" w:pos="284"/>
        <w:tab w:val="left" w:pos="0"/>
        <w:tab w:val="left" w:pos="851"/>
        <w:tab w:val="right" w:pos="9639"/>
      </w:tabs>
      <w:ind w:firstLine="851"/>
      <w:rPr>
        <w:b/>
      </w:rPr>
    </w:pPr>
  </w:p>
  <w:p w14:paraId="26CC2FFE" w14:textId="77777777" w:rsidR="00A527B7" w:rsidRDefault="00A527B7" w:rsidP="0033441B">
    <w:pPr>
      <w:pStyle w:val="FiDa-RammeSidefodog-hoved"/>
      <w:tabs>
        <w:tab w:val="clear" w:pos="284"/>
        <w:tab w:val="left" w:pos="0"/>
        <w:tab w:val="left" w:pos="851"/>
        <w:tab w:val="right" w:pos="9639"/>
      </w:tabs>
      <w:ind w:firstLine="851"/>
      <w:rPr>
        <w:b/>
      </w:rPr>
    </w:pPr>
  </w:p>
  <w:p w14:paraId="0259FB8B" w14:textId="77777777" w:rsidR="00417F1B" w:rsidRPr="00417F1B" w:rsidRDefault="00417F1B" w:rsidP="00A05A65">
    <w:pPr>
      <w:pStyle w:val="FiDa-RammeSidefodog-hoved"/>
      <w:tabs>
        <w:tab w:val="clear" w:pos="284"/>
        <w:tab w:val="left" w:pos="0"/>
        <w:tab w:val="left" w:pos="851"/>
        <w:tab w:val="right" w:pos="9639"/>
      </w:tabs>
    </w:pPr>
    <w:r>
      <w:rPr>
        <w:noProof/>
        <w:lang w:val="en-US" w:eastAsia="en-US"/>
      </w:rPr>
      <w:drawing>
        <wp:anchor distT="0" distB="0" distL="114300" distR="114300" simplePos="0" relativeHeight="251658242" behindDoc="1" locked="1" layoutInCell="1" allowOverlap="1" wp14:anchorId="7803F2F7" wp14:editId="624FD9B1">
          <wp:simplePos x="0" y="0"/>
          <wp:positionH relativeFrom="page">
            <wp:posOffset>724205</wp:posOffset>
          </wp:positionH>
          <wp:positionV relativeFrom="page">
            <wp:posOffset>9860890</wp:posOffset>
          </wp:positionV>
          <wp:extent cx="381600" cy="381600"/>
          <wp:effectExtent l="0" t="0" r="0" b="0"/>
          <wp:wrapTight wrapText="bothSides">
            <wp:wrapPolygon edited="0">
              <wp:start x="0" y="0"/>
              <wp:lineTo x="0" y="20520"/>
              <wp:lineTo x="20520" y="20520"/>
              <wp:lineTo x="20520" y="0"/>
              <wp:lineTo x="0" y="0"/>
            </wp:wrapPolygon>
          </wp:wrapTight>
          <wp:docPr id="314" name="Picture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_Logo_CMYK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72A">
      <w:rPr>
        <w:b/>
      </w:rPr>
      <w:t>Finans Danmark</w:t>
    </w:r>
    <w:r w:rsidRPr="0071772A">
      <w:t xml:space="preserve">  </w:t>
    </w:r>
    <w:r w:rsidR="00082F8D" w:rsidRPr="00082F8D">
      <w:rPr>
        <w:color w:val="E4002B"/>
      </w:rPr>
      <w:t>|</w:t>
    </w:r>
    <w:r w:rsidRPr="0071772A">
      <w:t xml:space="preserve">  Amaliegade 7  </w:t>
    </w:r>
    <w:r w:rsidR="00082F8D" w:rsidRPr="00082F8D">
      <w:rPr>
        <w:color w:val="E4002B"/>
      </w:rPr>
      <w:t>|</w:t>
    </w:r>
    <w:r w:rsidRPr="0071772A">
      <w:t xml:space="preserve">  1256 København K  </w:t>
    </w:r>
    <w:r w:rsidR="00082F8D" w:rsidRPr="00082F8D">
      <w:rPr>
        <w:color w:val="E4002B"/>
      </w:rPr>
      <w:t>|</w:t>
    </w:r>
    <w:r w:rsidRPr="0071772A">
      <w:t xml:space="preserve">  </w:t>
    </w:r>
    <w:r w:rsidR="00637B8B" w:rsidRPr="00637B8B">
      <w:t>www.finansdanmark.dk</w:t>
    </w:r>
    <w:r w:rsidR="00637B8B">
      <w:tab/>
    </w:r>
    <w:r w:rsidRPr="00417F1B">
      <w:fldChar w:fldCharType="begin"/>
    </w:r>
    <w:r w:rsidRPr="00417F1B">
      <w:instrText>PAGE   \* MERGEFORMAT</w:instrText>
    </w:r>
    <w:r w:rsidRPr="00417F1B">
      <w:fldChar w:fldCharType="separate"/>
    </w:r>
    <w:r w:rsidR="002D66DA">
      <w:rPr>
        <w:noProof/>
      </w:rPr>
      <w:t>2</w:t>
    </w:r>
    <w:r w:rsidRPr="00417F1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3F71" w14:textId="77777777" w:rsidR="004E697B" w:rsidRPr="0071772A" w:rsidRDefault="0071772A" w:rsidP="00417F1B">
    <w:pPr>
      <w:pStyle w:val="FiDa-RammeSidefodog-hoved"/>
      <w:tabs>
        <w:tab w:val="clear" w:pos="284"/>
        <w:tab w:val="left" w:pos="0"/>
        <w:tab w:val="right" w:pos="10206"/>
      </w:tabs>
    </w:pPr>
    <w:r w:rsidRPr="0071772A">
      <w:rPr>
        <w:b/>
      </w:rPr>
      <w:t>Finans Danmark</w:t>
    </w:r>
    <w:r w:rsidRPr="0071772A">
      <w:t xml:space="preserve">  </w:t>
    </w:r>
    <w:r w:rsidRPr="00082F8D">
      <w:rPr>
        <w:color w:val="E4002B"/>
      </w:rPr>
      <w:t>|</w:t>
    </w:r>
    <w:r w:rsidRPr="0071772A">
      <w:t xml:space="preserve">  Amaliegade 7  </w:t>
    </w:r>
    <w:r w:rsidR="00082F8D" w:rsidRPr="00082F8D">
      <w:rPr>
        <w:color w:val="E4002B"/>
      </w:rPr>
      <w:t>|</w:t>
    </w:r>
    <w:r w:rsidRPr="0071772A">
      <w:t xml:space="preserve">  1256 København K  </w:t>
    </w:r>
    <w:r w:rsidR="00082F8D" w:rsidRPr="00082F8D">
      <w:rPr>
        <w:color w:val="E4002B"/>
      </w:rPr>
      <w:t>|</w:t>
    </w:r>
    <w:r w:rsidRPr="0071772A">
      <w:t xml:space="preserve">  www.finansdanmark.dk</w:t>
    </w:r>
    <w:r w:rsidR="00417F1B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BD7C" w14:textId="77777777" w:rsidR="00B22AC7" w:rsidRDefault="00B22AC7">
      <w:r>
        <w:separator/>
      </w:r>
    </w:p>
  </w:footnote>
  <w:footnote w:type="continuationSeparator" w:id="0">
    <w:p w14:paraId="658E8B51" w14:textId="77777777" w:rsidR="00B22AC7" w:rsidRDefault="00B22AC7">
      <w:r>
        <w:continuationSeparator/>
      </w:r>
    </w:p>
  </w:footnote>
  <w:footnote w:type="continuationNotice" w:id="1">
    <w:p w14:paraId="58262428" w14:textId="77777777" w:rsidR="00B22AC7" w:rsidRDefault="00B22AC7">
      <w:pPr>
        <w:spacing w:line="240" w:lineRule="auto"/>
      </w:pPr>
    </w:p>
  </w:footnote>
  <w:footnote w:id="2">
    <w:p w14:paraId="7A20EB84" w14:textId="427B4856" w:rsidR="00A32C77" w:rsidRPr="00614FA0" w:rsidRDefault="00A32C77" w:rsidP="00A32C77">
      <w:pPr>
        <w:pStyle w:val="Fodnotetekst"/>
        <w:rPr>
          <w:sz w:val="14"/>
          <w:szCs w:val="14"/>
        </w:rPr>
      </w:pPr>
      <w:r w:rsidRPr="00614FA0">
        <w:rPr>
          <w:sz w:val="14"/>
          <w:szCs w:val="14"/>
        </w:rPr>
        <w:footnoteRef/>
      </w:r>
      <w:r w:rsidR="003168CA">
        <w:rPr>
          <w:sz w:val="14"/>
          <w:szCs w:val="14"/>
        </w:rPr>
        <w:t>)</w:t>
      </w:r>
      <w:r w:rsidRPr="00614FA0">
        <w:rPr>
          <w:sz w:val="14"/>
          <w:szCs w:val="14"/>
        </w:rPr>
        <w:t xml:space="preserve"> Samt de valutaer, der også efter 29. oktober 2018 måtte blive tilgængelige for afvikling via T2S.</w:t>
      </w:r>
    </w:p>
  </w:footnote>
  <w:footnote w:id="3">
    <w:p w14:paraId="5BF8286E" w14:textId="17785FAF" w:rsidR="00A32C77" w:rsidRPr="00614FA0" w:rsidRDefault="00A32C77" w:rsidP="00A32C77">
      <w:pPr>
        <w:pStyle w:val="Fodnotetekst"/>
        <w:rPr>
          <w:sz w:val="14"/>
          <w:szCs w:val="14"/>
        </w:rPr>
      </w:pPr>
      <w:r w:rsidRPr="00614FA0">
        <w:rPr>
          <w:sz w:val="14"/>
          <w:szCs w:val="14"/>
        </w:rPr>
        <w:footnoteRef/>
      </w:r>
      <w:r w:rsidR="003168CA">
        <w:rPr>
          <w:sz w:val="14"/>
          <w:szCs w:val="14"/>
        </w:rPr>
        <w:t>)</w:t>
      </w:r>
      <w:r w:rsidRPr="00614FA0">
        <w:rPr>
          <w:sz w:val="14"/>
          <w:szCs w:val="14"/>
        </w:rPr>
        <w:t xml:space="preserve"> I dette notat bruges begrebet ”tredjemandshandler” om den situation, hvor en kunde har depot i én bank (bank Y)</w:t>
      </w:r>
      <w:r w:rsidR="003168CA">
        <w:rPr>
          <w:sz w:val="14"/>
          <w:szCs w:val="14"/>
        </w:rPr>
        <w:t>,</w:t>
      </w:r>
      <w:r w:rsidRPr="00614FA0">
        <w:rPr>
          <w:sz w:val="14"/>
          <w:szCs w:val="14"/>
        </w:rPr>
        <w:t xml:space="preserve"> men vælger at handle med en anden bank (bank Z). Kunden har konto i bank Y eller en tredje bank (bank X), og enten bank Y eller bank X er således betalingsstiller for kunden. Bank Z er betalingsstiller for sig selv. Kunden og bank Z (handlens parter) har således (uanset om det er bank Y eller bank X, der er betalingsstiller for kunden) to forskellige betalingsstillere.</w:t>
      </w:r>
    </w:p>
  </w:footnote>
  <w:footnote w:id="4">
    <w:p w14:paraId="5A33D901" w14:textId="7FFB8181" w:rsidR="00A32C77" w:rsidRPr="00614FA0" w:rsidRDefault="00A32C77" w:rsidP="00A32C77">
      <w:pPr>
        <w:pStyle w:val="Fodnotetekst"/>
        <w:rPr>
          <w:sz w:val="14"/>
          <w:szCs w:val="14"/>
        </w:rPr>
      </w:pPr>
      <w:r w:rsidRPr="00614FA0">
        <w:rPr>
          <w:sz w:val="14"/>
          <w:szCs w:val="14"/>
        </w:rPr>
        <w:footnoteRef/>
      </w:r>
      <w:r w:rsidR="003168CA">
        <w:rPr>
          <w:sz w:val="14"/>
          <w:szCs w:val="14"/>
        </w:rPr>
        <w:t>)</w:t>
      </w:r>
      <w:r w:rsidRPr="00614FA0">
        <w:rPr>
          <w:sz w:val="14"/>
          <w:szCs w:val="14"/>
        </w:rPr>
        <w:t xml:space="preserve"> Der henvises til VP’s Fondsregister. </w:t>
      </w:r>
    </w:p>
  </w:footnote>
  <w:footnote w:id="5">
    <w:p w14:paraId="1218DB6D" w14:textId="77777777" w:rsidR="00A32C77" w:rsidRPr="00614FA0" w:rsidRDefault="00A32C77" w:rsidP="00A32C77">
      <w:pPr>
        <w:pStyle w:val="Fodnotetekst"/>
        <w:rPr>
          <w:sz w:val="14"/>
          <w:szCs w:val="14"/>
        </w:rPr>
      </w:pPr>
      <w:r w:rsidRPr="00614FA0">
        <w:rPr>
          <w:sz w:val="14"/>
          <w:szCs w:val="14"/>
        </w:rPr>
        <w:footnoteRef/>
      </w:r>
      <w:r w:rsidRPr="00614FA0">
        <w:rPr>
          <w:sz w:val="14"/>
          <w:szCs w:val="14"/>
        </w:rPr>
        <w:t xml:space="preserve"> Se også bilag 2.</w:t>
      </w:r>
    </w:p>
  </w:footnote>
  <w:footnote w:id="6">
    <w:p w14:paraId="5EA692D4" w14:textId="1F917532" w:rsidR="00A32C77" w:rsidRPr="00614FA0" w:rsidRDefault="00A32C77" w:rsidP="00A32C77">
      <w:pPr>
        <w:pStyle w:val="Fodnotetekst"/>
        <w:rPr>
          <w:sz w:val="14"/>
          <w:szCs w:val="14"/>
        </w:rPr>
      </w:pPr>
      <w:r w:rsidRPr="00614FA0">
        <w:rPr>
          <w:sz w:val="14"/>
          <w:szCs w:val="14"/>
        </w:rPr>
        <w:footnoteRef/>
      </w:r>
      <w:r w:rsidRPr="00614FA0">
        <w:rPr>
          <w:sz w:val="14"/>
          <w:szCs w:val="14"/>
        </w:rPr>
        <w:t xml:space="preserve"> Se figur 5 – figur 8 i bilag 4 for illustration af omnibusstrukturen.</w:t>
      </w:r>
    </w:p>
  </w:footnote>
  <w:footnote w:id="7">
    <w:p w14:paraId="375BABA1" w14:textId="77777777" w:rsidR="00A32C77" w:rsidRPr="00614FA0" w:rsidRDefault="00A32C77" w:rsidP="00A32C77">
      <w:pPr>
        <w:pStyle w:val="Fodnotetekst"/>
        <w:rPr>
          <w:sz w:val="14"/>
          <w:szCs w:val="14"/>
        </w:rPr>
      </w:pPr>
      <w:r w:rsidRPr="00614FA0">
        <w:rPr>
          <w:sz w:val="14"/>
          <w:szCs w:val="14"/>
        </w:rPr>
        <w:footnoteRef/>
      </w:r>
      <w:r w:rsidRPr="00614FA0">
        <w:rPr>
          <w:sz w:val="14"/>
          <w:szCs w:val="14"/>
        </w:rPr>
        <w:t xml:space="preserve"> Denne relation skal styres i egne systemer.</w:t>
      </w:r>
    </w:p>
  </w:footnote>
  <w:footnote w:id="8">
    <w:p w14:paraId="52D40672" w14:textId="592B4B30" w:rsidR="00A32C77" w:rsidRPr="00614FA0" w:rsidRDefault="00A32C77" w:rsidP="00A32C77">
      <w:pPr>
        <w:pStyle w:val="Fodnotetekst"/>
        <w:rPr>
          <w:sz w:val="14"/>
          <w:szCs w:val="14"/>
        </w:rPr>
      </w:pPr>
      <w:r w:rsidRPr="00614FA0">
        <w:rPr>
          <w:sz w:val="14"/>
          <w:szCs w:val="14"/>
        </w:rPr>
        <w:footnoteRef/>
      </w:r>
      <w:r w:rsidRPr="00614FA0">
        <w:rPr>
          <w:sz w:val="14"/>
          <w:szCs w:val="14"/>
        </w:rPr>
        <w:t xml:space="preserve"> Se figur 5 – figur 8 i bilag 4 for illustration af omnibusstrukturen.</w:t>
      </w:r>
    </w:p>
  </w:footnote>
  <w:footnote w:id="9">
    <w:p w14:paraId="2B081DC7" w14:textId="1D25C4EA" w:rsidR="00A32C77" w:rsidRPr="00614FA0" w:rsidRDefault="00A32C77" w:rsidP="00A32C77">
      <w:pPr>
        <w:pStyle w:val="Fodnotetekst"/>
        <w:rPr>
          <w:sz w:val="14"/>
          <w:szCs w:val="14"/>
        </w:rPr>
      </w:pPr>
      <w:r w:rsidRPr="00614FA0">
        <w:rPr>
          <w:sz w:val="14"/>
          <w:szCs w:val="14"/>
        </w:rPr>
        <w:footnoteRef/>
      </w:r>
      <w:r w:rsidR="0082356B">
        <w:rPr>
          <w:sz w:val="14"/>
          <w:szCs w:val="14"/>
        </w:rPr>
        <w:t>)</w:t>
      </w:r>
      <w:r w:rsidRPr="00614FA0">
        <w:rPr>
          <w:sz w:val="14"/>
          <w:szCs w:val="14"/>
        </w:rPr>
        <w:t xml:space="preserve"> På mødet i den af Finans Danmark nedsatte arbejdsgruppe vedr. markedsprocedure for anvendelse af kommissionsmodellen den 17. januar oplyste VP, at det ikke er nødvendigt, at kunder – for at benytte sig af afvikling via T2S (via et omnibusdepot) – har egen BIC/LEI</w:t>
      </w:r>
      <w:r w:rsidR="0082356B">
        <w:rPr>
          <w:sz w:val="14"/>
          <w:szCs w:val="14"/>
        </w:rPr>
        <w:t>-</w:t>
      </w:r>
      <w:r w:rsidRPr="00614FA0">
        <w:rPr>
          <w:sz w:val="14"/>
          <w:szCs w:val="14"/>
        </w:rPr>
        <w:t>kode. Dette skyldes, at instruks vedrørende afvikling af et værdipapir, der tilhører et kontoførende instituts kunde, og som ligger på et omnibusdepot, skal indeholde det kontoførende instituts BIC/LEI kode.</w:t>
      </w:r>
    </w:p>
  </w:footnote>
  <w:footnote w:id="10">
    <w:p w14:paraId="716B3761" w14:textId="4CFFF88F" w:rsidR="00A32C77" w:rsidRPr="00614FA0" w:rsidRDefault="00A32C77" w:rsidP="00A32C77">
      <w:pPr>
        <w:pStyle w:val="Fodnotetekst"/>
        <w:rPr>
          <w:sz w:val="14"/>
          <w:szCs w:val="14"/>
        </w:rPr>
      </w:pPr>
      <w:r w:rsidRPr="00614FA0">
        <w:rPr>
          <w:sz w:val="14"/>
          <w:szCs w:val="14"/>
        </w:rPr>
        <w:footnoteRef/>
      </w:r>
      <w:r w:rsidR="0082356B">
        <w:rPr>
          <w:sz w:val="14"/>
          <w:szCs w:val="14"/>
        </w:rPr>
        <w:t>)</w:t>
      </w:r>
      <w:r w:rsidRPr="00614FA0">
        <w:rPr>
          <w:sz w:val="14"/>
          <w:szCs w:val="14"/>
        </w:rPr>
        <w:t xml:space="preserve"> Hvis Bank Y benytter VP omnibusdepot</w:t>
      </w:r>
    </w:p>
  </w:footnote>
  <w:footnote w:id="11">
    <w:p w14:paraId="39386725" w14:textId="45F21A12" w:rsidR="00A32C77" w:rsidRPr="00614FA0" w:rsidRDefault="00A32C77" w:rsidP="00A32C77">
      <w:pPr>
        <w:pStyle w:val="Fodnotetekst"/>
        <w:rPr>
          <w:sz w:val="14"/>
          <w:szCs w:val="14"/>
        </w:rPr>
      </w:pPr>
      <w:r w:rsidRPr="00614FA0">
        <w:rPr>
          <w:sz w:val="14"/>
          <w:szCs w:val="14"/>
        </w:rPr>
        <w:footnoteRef/>
      </w:r>
      <w:r w:rsidR="0082356B">
        <w:rPr>
          <w:sz w:val="14"/>
          <w:szCs w:val="14"/>
        </w:rPr>
        <w:t>)</w:t>
      </w:r>
      <w:r w:rsidRPr="00614FA0">
        <w:rPr>
          <w:sz w:val="14"/>
          <w:szCs w:val="14"/>
        </w:rPr>
        <w:t xml:space="preserve"> På mødet i den af Finans Danmark nedsatte arbejdsgruppe vedr</w:t>
      </w:r>
      <w:r w:rsidR="0082356B">
        <w:rPr>
          <w:sz w:val="14"/>
          <w:szCs w:val="14"/>
        </w:rPr>
        <w:t>ørende</w:t>
      </w:r>
      <w:r w:rsidRPr="00614FA0">
        <w:rPr>
          <w:sz w:val="14"/>
          <w:szCs w:val="14"/>
        </w:rPr>
        <w:t xml:space="preserve"> markedsprocedure for anvendelse af kommissionsmodellen den 17. januar oplyste VP, at det ikke er nødvendigt, at kunder – for at benytte sig af afvikling via T2S (via et omnibusdepot) – har egen BIC/LEI</w:t>
      </w:r>
      <w:r w:rsidR="0082356B">
        <w:rPr>
          <w:sz w:val="14"/>
          <w:szCs w:val="14"/>
        </w:rPr>
        <w:t>-</w:t>
      </w:r>
      <w:r w:rsidRPr="00614FA0">
        <w:rPr>
          <w:sz w:val="14"/>
          <w:szCs w:val="14"/>
        </w:rPr>
        <w:t>kode. Dette skyldes, at instruks vedrørende afvikling af et værdipapir, der tilhører et kontoførende instituts kunde, og som ligger på et omnibusdepot, skal indeholde det kontoførende instituts BIC/LEI kode.</w:t>
      </w:r>
    </w:p>
  </w:footnote>
  <w:footnote w:id="12">
    <w:p w14:paraId="43D9C74A" w14:textId="12EF5E98" w:rsidR="00A32C77" w:rsidRPr="00614FA0" w:rsidRDefault="00A32C77" w:rsidP="00A32C77">
      <w:pPr>
        <w:pStyle w:val="Fodnotetekst"/>
        <w:rPr>
          <w:sz w:val="14"/>
          <w:szCs w:val="14"/>
        </w:rPr>
      </w:pPr>
      <w:r w:rsidRPr="00614FA0">
        <w:rPr>
          <w:sz w:val="14"/>
          <w:szCs w:val="14"/>
        </w:rPr>
        <w:footnoteRef/>
      </w:r>
      <w:r w:rsidR="0082356B">
        <w:rPr>
          <w:sz w:val="14"/>
          <w:szCs w:val="14"/>
        </w:rPr>
        <w:t>)</w:t>
      </w:r>
      <w:r w:rsidRPr="00614FA0">
        <w:rPr>
          <w:sz w:val="14"/>
          <w:szCs w:val="14"/>
        </w:rPr>
        <w:t xml:space="preserve"> Hvis Bank Y benytter VP omnibusdepot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7091" w14:textId="528E628A" w:rsidR="00DA1DD3" w:rsidRDefault="00D86F74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F4A562A" wp14:editId="6E779B45">
              <wp:simplePos x="0" y="0"/>
              <wp:positionH relativeFrom="page">
                <wp:posOffset>5732145</wp:posOffset>
              </wp:positionH>
              <wp:positionV relativeFrom="page">
                <wp:posOffset>3305175</wp:posOffset>
              </wp:positionV>
              <wp:extent cx="1627200" cy="3200400"/>
              <wp:effectExtent l="0" t="0" r="1143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200" cy="32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562"/>
                          </w:tblGrid>
                          <w:tr w:rsidR="00D86F74" w:rsidRPr="009F023D" w14:paraId="7D68B7A8" w14:textId="77777777">
                            <w:tc>
                              <w:tcPr>
                                <w:tcW w:w="2673" w:type="dxa"/>
                              </w:tcPr>
                              <w:p w14:paraId="5A7F27F7" w14:textId="77777777" w:rsidR="000C6C5C" w:rsidRPr="00DA0444" w:rsidRDefault="00227252" w:rsidP="000C6C5C">
                                <w:pPr>
                                  <w:pStyle w:val="FiDa-RammeKategorilys"/>
                                </w:pPr>
                                <w:r w:rsidRPr="00DA0444">
                                  <w:t>Notat</w:t>
                                </w:r>
                              </w:p>
                              <w:p w14:paraId="5B2D165B" w14:textId="77777777" w:rsidR="000C6C5C" w:rsidRPr="00DA0444" w:rsidRDefault="000C6C5C" w:rsidP="000C6C5C">
                                <w:pPr>
                                  <w:pStyle w:val="FiDa-RammeKolofoninfo"/>
                                </w:pPr>
                              </w:p>
                              <w:p w14:paraId="6BBF82EA" w14:textId="77777777" w:rsidR="000C6C5C" w:rsidRPr="00DA0444" w:rsidRDefault="000C6C5C" w:rsidP="000C6C5C">
                                <w:pPr>
                                  <w:pStyle w:val="FiDa-RammeKolofoninfo"/>
                                </w:pPr>
                              </w:p>
                              <w:p w14:paraId="2D0E2D64" w14:textId="251EEFED" w:rsidR="00D86F74" w:rsidRPr="00DA0444" w:rsidRDefault="00AF2B7C" w:rsidP="00A601A2">
                                <w:pPr>
                                  <w:pStyle w:val="FiDa-RammeKolofoninfolys"/>
                                </w:pPr>
                                <w:r>
                                  <w:fldChar w:fldCharType="begin"/>
                                </w:r>
                                <w:r w:rsidRPr="00DA0444">
                                  <w:instrText xml:space="preserve"> FILLIN  "Please insert document date"  \* MERGEFORMAT </w:instrText>
                                </w:r>
                                <w:r>
                                  <w:fldChar w:fldCharType="separate"/>
                                </w:r>
                                <w:r w:rsidR="008C0723">
                                  <w:t>10</w:t>
                                </w:r>
                                <w:r w:rsidR="000247A3">
                                  <w:t>. september</w:t>
                                </w:r>
                                <w:r w:rsidR="005B5539">
                                  <w:t>.2018</w:t>
                                </w:r>
                                <w:r>
                                  <w:fldChar w:fldCharType="end"/>
                                </w:r>
                              </w:p>
                              <w:p w14:paraId="13F01BD7" w14:textId="450A43BA" w:rsidR="00D86F74" w:rsidRPr="00DA0444" w:rsidRDefault="00D86F74" w:rsidP="002D66DA">
                                <w:pPr>
                                  <w:pStyle w:val="FiDa-RammeKolofoninfolys"/>
                                </w:pPr>
                                <w:r w:rsidRPr="00DA0444">
                                  <w:t xml:space="preserve">Dok. nr. </w:t>
                                </w:r>
                                <w:r w:rsidR="00AF2B7C">
                                  <w:fldChar w:fldCharType="begin"/>
                                </w:r>
                                <w:r w:rsidR="00AF2B7C" w:rsidRPr="00DA0444">
                                  <w:instrText xml:space="preserve"> FILENAME  \* Upper  \* MERGEFORMAT </w:instrText>
                                </w:r>
                                <w:r w:rsidR="00AF2B7C">
                                  <w:fldChar w:fldCharType="separate"/>
                                </w:r>
                                <w:r w:rsidR="005B5539">
                                  <w:rPr>
                                    <w:noProof/>
                                  </w:rPr>
                                  <w:t>FIDA-1568102655-2</w:t>
                                </w:r>
                                <w:r w:rsidR="00AF2B7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A0444">
                                  <w:t>-v</w:t>
                                </w:r>
                                <w:r w:rsidR="00777657" w:rsidRPr="00DA0444">
                                  <w:t>1</w:t>
                                </w:r>
                              </w:p>
                            </w:tc>
                          </w:tr>
                        </w:tbl>
                        <w:p w14:paraId="355A9CD8" w14:textId="77777777" w:rsidR="00D86F74" w:rsidRPr="00DA0444" w:rsidRDefault="00D86F74" w:rsidP="00A601A2">
                          <w:pPr>
                            <w:pStyle w:val="FiDa-RammeKolofoninfoly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A56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1.35pt;margin-top:260.25pt;width:128.15pt;height:25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FeqwIAAKs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" filled="f" stroked="f">
              <v:textbox inset="0,0,0,0">
                <w:txbxContent>
                  <w:tbl>
                    <w:tblPr>
                      <w:tblW w:w="0" w:type="auto"/>
                      <w:tblLook w:val="0000" w:firstRow="0" w:lastRow="0" w:firstColumn="0" w:lastColumn="0" w:noHBand="0" w:noVBand="0"/>
                    </w:tblPr>
                    <w:tblGrid>
                      <w:gridCol w:w="2562"/>
                    </w:tblGrid>
                    <w:tr w:rsidR="00D86F74" w:rsidRPr="009F023D" w14:paraId="7D68B7A8" w14:textId="77777777">
                      <w:tc>
                        <w:tcPr>
                          <w:tcW w:w="2673" w:type="dxa"/>
                        </w:tcPr>
                        <w:p w14:paraId="5A7F27F7" w14:textId="77777777" w:rsidR="000C6C5C" w:rsidRPr="00DA0444" w:rsidRDefault="00227252" w:rsidP="000C6C5C">
                          <w:pPr>
                            <w:pStyle w:val="FiDa-RammeKategorilys"/>
                          </w:pPr>
                          <w:r w:rsidRPr="00DA0444">
                            <w:t>Notat</w:t>
                          </w:r>
                        </w:p>
                        <w:p w14:paraId="5B2D165B" w14:textId="77777777" w:rsidR="000C6C5C" w:rsidRPr="00DA0444" w:rsidRDefault="000C6C5C" w:rsidP="000C6C5C">
                          <w:pPr>
                            <w:pStyle w:val="FiDa-RammeKolofoninfo"/>
                          </w:pPr>
                        </w:p>
                        <w:p w14:paraId="6BBF82EA" w14:textId="77777777" w:rsidR="000C6C5C" w:rsidRPr="00DA0444" w:rsidRDefault="000C6C5C" w:rsidP="000C6C5C">
                          <w:pPr>
                            <w:pStyle w:val="FiDa-RammeKolofoninfo"/>
                          </w:pPr>
                        </w:p>
                        <w:p w14:paraId="2D0E2D64" w14:textId="251EEFED" w:rsidR="00D86F74" w:rsidRPr="00DA0444" w:rsidRDefault="00AF2B7C" w:rsidP="00A601A2">
                          <w:pPr>
                            <w:pStyle w:val="FiDa-RammeKolofoninfolys"/>
                          </w:pPr>
                          <w:r>
                            <w:fldChar w:fldCharType="begin"/>
                          </w:r>
                          <w:r w:rsidRPr="00DA0444">
                            <w:instrText xml:space="preserve"> FILLIN  "Please insert document date"  \* MERGEFORMAT </w:instrText>
                          </w:r>
                          <w:r>
                            <w:fldChar w:fldCharType="separate"/>
                          </w:r>
                          <w:r w:rsidR="008C0723">
                            <w:t>10</w:t>
                          </w:r>
                          <w:r w:rsidR="000247A3">
                            <w:t>. september</w:t>
                          </w:r>
                          <w:r w:rsidR="005B5539">
                            <w:t>.2018</w:t>
                          </w:r>
                          <w:r>
                            <w:fldChar w:fldCharType="end"/>
                          </w:r>
                        </w:p>
                        <w:p w14:paraId="13F01BD7" w14:textId="450A43BA" w:rsidR="00D86F74" w:rsidRPr="00DA0444" w:rsidRDefault="00D86F74" w:rsidP="002D66DA">
                          <w:pPr>
                            <w:pStyle w:val="FiDa-RammeKolofoninfolys"/>
                          </w:pPr>
                          <w:r w:rsidRPr="00DA0444">
                            <w:t xml:space="preserve">Dok. nr. </w:t>
                          </w:r>
                          <w:r w:rsidR="00AF2B7C">
                            <w:fldChar w:fldCharType="begin"/>
                          </w:r>
                          <w:r w:rsidR="00AF2B7C" w:rsidRPr="00DA0444">
                            <w:instrText xml:space="preserve"> FILENAME  \* Upper  \* MERGEFORMAT </w:instrText>
                          </w:r>
                          <w:r w:rsidR="00AF2B7C">
                            <w:fldChar w:fldCharType="separate"/>
                          </w:r>
                          <w:r w:rsidR="005B5539">
                            <w:rPr>
                              <w:noProof/>
                            </w:rPr>
                            <w:t>FIDA-1568102655-2</w:t>
                          </w:r>
                          <w:r w:rsidR="00AF2B7C">
                            <w:rPr>
                              <w:noProof/>
                            </w:rPr>
                            <w:fldChar w:fldCharType="end"/>
                          </w:r>
                          <w:r w:rsidRPr="00DA0444">
                            <w:t>-v</w:t>
                          </w:r>
                          <w:r w:rsidR="00777657" w:rsidRPr="00DA0444">
                            <w:t>1</w:t>
                          </w:r>
                        </w:p>
                      </w:tc>
                    </w:tr>
                  </w:tbl>
                  <w:p w14:paraId="355A9CD8" w14:textId="77777777" w:rsidR="00D86F74" w:rsidRPr="00DA0444" w:rsidRDefault="00D86F74" w:rsidP="00A601A2">
                    <w:pPr>
                      <w:pStyle w:val="FiDa-RammeKolofoninfoly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01F0" w14:textId="09ADA8AC" w:rsidR="00DA1DD3" w:rsidRDefault="0032580C" w:rsidP="00277114">
    <w:pPr>
      <w:pStyle w:val="LOGO"/>
      <w:spacing w:before="0"/>
    </w:pPr>
    <w:r>
      <w:rPr>
        <w:lang w:val="en-US" w:eastAsia="en-US"/>
      </w:rPr>
      <w:drawing>
        <wp:anchor distT="0" distB="0" distL="114300" distR="114300" simplePos="0" relativeHeight="251658241" behindDoc="0" locked="1" layoutInCell="1" allowOverlap="1" wp14:anchorId="39785674" wp14:editId="64BF9475">
          <wp:simplePos x="0" y="0"/>
          <wp:positionH relativeFrom="page">
            <wp:posOffset>5692140</wp:posOffset>
          </wp:positionH>
          <wp:positionV relativeFrom="page">
            <wp:posOffset>381635</wp:posOffset>
          </wp:positionV>
          <wp:extent cx="1083600" cy="1965600"/>
          <wp:effectExtent l="0" t="0" r="254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_H_CMYK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420">
      <w:rPr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E22DD" wp14:editId="5808EBC4">
              <wp:simplePos x="0" y="0"/>
              <wp:positionH relativeFrom="page">
                <wp:posOffset>5732145</wp:posOffset>
              </wp:positionH>
              <wp:positionV relativeFrom="page">
                <wp:posOffset>3305175</wp:posOffset>
              </wp:positionV>
              <wp:extent cx="1627200" cy="3200400"/>
              <wp:effectExtent l="0" t="0" r="1143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200" cy="32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562"/>
                          </w:tblGrid>
                          <w:tr w:rsidR="00DA1DD3" w:rsidRPr="00CE697D" w14:paraId="26FE5316" w14:textId="77777777">
                            <w:tc>
                              <w:tcPr>
                                <w:tcW w:w="2673" w:type="dxa"/>
                              </w:tcPr>
                              <w:p w14:paraId="5555D3FE" w14:textId="77777777" w:rsidR="00DA2F8A" w:rsidRPr="00DA0444" w:rsidRDefault="00227252" w:rsidP="00DA2F8A">
                                <w:pPr>
                                  <w:pStyle w:val="FiDa-RammeKategori"/>
                                </w:pPr>
                                <w:r w:rsidRPr="00DA0444">
                                  <w:t>Notat</w:t>
                                </w:r>
                              </w:p>
                              <w:p w14:paraId="58B28EDD" w14:textId="77777777" w:rsidR="00DA2F8A" w:rsidRPr="00DA0444" w:rsidRDefault="00DA2F8A" w:rsidP="00DA2F8A">
                                <w:pPr>
                                  <w:pStyle w:val="FiDa-RammeKolofoninfo"/>
                                </w:pPr>
                              </w:p>
                              <w:p w14:paraId="551F9B16" w14:textId="247C27FD" w:rsidR="00DA1DD3" w:rsidRPr="00DA0444" w:rsidRDefault="00DA2F8A" w:rsidP="00DA2F8A">
                                <w:pPr>
                                  <w:pStyle w:val="FiDa-RammeKolofoninfo"/>
                                </w:pPr>
                                <w:r w:rsidRPr="00DA0444">
                                  <w:br/>
                                </w:r>
                                <w:r w:rsidR="00777657">
                                  <w:fldChar w:fldCharType="begin"/>
                                </w:r>
                                <w:r w:rsidR="00777657" w:rsidRPr="00DA0444">
                                  <w:instrText xml:space="preserve"> FILLIN  "Please insert document date"  \* MERGEFORMAT </w:instrText>
                                </w:r>
                                <w:r w:rsidR="00777657">
                                  <w:fldChar w:fldCharType="separate"/>
                                </w:r>
                                <w:r w:rsidR="008C0723">
                                  <w:t>10</w:t>
                                </w:r>
                                <w:r w:rsidR="000247A3">
                                  <w:t xml:space="preserve">. september </w:t>
                                </w:r>
                                <w:r w:rsidR="005B5539">
                                  <w:t>2018</w:t>
                                </w:r>
                                <w:r w:rsidR="00777657">
                                  <w:fldChar w:fldCharType="end"/>
                                </w:r>
                              </w:p>
                              <w:p w14:paraId="388D7CED" w14:textId="5A267443" w:rsidR="00DA1DD3" w:rsidRPr="00DA0444" w:rsidRDefault="004E697B" w:rsidP="002D66DA">
                                <w:pPr>
                                  <w:pStyle w:val="FiDa-RammeKolofoninfo"/>
                                </w:pPr>
                                <w:r w:rsidRPr="00DA0444">
                                  <w:t xml:space="preserve">Dok. nr. </w:t>
                                </w:r>
                                <w:bookmarkStart w:id="61" w:name="TR1_DOCNUMBER"/>
                                <w:bookmarkEnd w:id="61"/>
                                <w:r w:rsidR="00777657">
                                  <w:fldChar w:fldCharType="begin"/>
                                </w:r>
                                <w:r w:rsidR="00777657" w:rsidRPr="00DA0444">
                                  <w:instrText xml:space="preserve"> FILENAME  \* Upper  \* MERGEFORMAT </w:instrText>
                                </w:r>
                                <w:r w:rsidR="00777657">
                                  <w:fldChar w:fldCharType="separate"/>
                                </w:r>
                                <w:r w:rsidR="005B5539">
                                  <w:rPr>
                                    <w:noProof/>
                                  </w:rPr>
                                  <w:t>FIDA-1568102655-2</w:t>
                                </w:r>
                                <w:r w:rsidR="00777657">
                                  <w:fldChar w:fldCharType="end"/>
                                </w:r>
                                <w:r w:rsidRPr="00DA0444">
                                  <w:t>-v</w:t>
                                </w:r>
                                <w:bookmarkStart w:id="62" w:name="TR1_PDDOCVERSION"/>
                                <w:bookmarkEnd w:id="62"/>
                                <w:r w:rsidR="00777657" w:rsidRPr="00DA0444">
                                  <w:t>1</w:t>
                                </w:r>
                              </w:p>
                            </w:tc>
                          </w:tr>
                        </w:tbl>
                        <w:p w14:paraId="05C6354F" w14:textId="77777777" w:rsidR="00DA1DD3" w:rsidRPr="00DA0444" w:rsidRDefault="00DA1DD3" w:rsidP="00D632CB">
                          <w:pPr>
                            <w:pStyle w:val="FiDa-RammeKolofon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E22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1.35pt;margin-top:260.25pt;width:128.15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0mrQ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Look w:val="0000" w:firstRow="0" w:lastRow="0" w:firstColumn="0" w:lastColumn="0" w:noHBand="0" w:noVBand="0"/>
                    </w:tblPr>
                    <w:tblGrid>
                      <w:gridCol w:w="2562"/>
                    </w:tblGrid>
                    <w:tr w:rsidR="00DA1DD3" w:rsidRPr="00CE697D" w14:paraId="26FE5316" w14:textId="77777777">
                      <w:tc>
                        <w:tcPr>
                          <w:tcW w:w="2673" w:type="dxa"/>
                        </w:tcPr>
                        <w:p w14:paraId="5555D3FE" w14:textId="77777777" w:rsidR="00DA2F8A" w:rsidRPr="00DA0444" w:rsidRDefault="00227252" w:rsidP="00DA2F8A">
                          <w:pPr>
                            <w:pStyle w:val="FiDa-RammeKategori"/>
                          </w:pPr>
                          <w:r w:rsidRPr="00DA0444">
                            <w:t>Notat</w:t>
                          </w:r>
                        </w:p>
                        <w:p w14:paraId="58B28EDD" w14:textId="77777777" w:rsidR="00DA2F8A" w:rsidRPr="00DA0444" w:rsidRDefault="00DA2F8A" w:rsidP="00DA2F8A">
                          <w:pPr>
                            <w:pStyle w:val="FiDa-RammeKolofoninfo"/>
                          </w:pPr>
                        </w:p>
                        <w:p w14:paraId="551F9B16" w14:textId="247C27FD" w:rsidR="00DA1DD3" w:rsidRPr="00DA0444" w:rsidRDefault="00DA2F8A" w:rsidP="00DA2F8A">
                          <w:pPr>
                            <w:pStyle w:val="FiDa-RammeKolofoninfo"/>
                          </w:pPr>
                          <w:r w:rsidRPr="00DA0444">
                            <w:br/>
                          </w:r>
                          <w:r w:rsidR="00777657">
                            <w:fldChar w:fldCharType="begin"/>
                          </w:r>
                          <w:r w:rsidR="00777657" w:rsidRPr="00DA0444">
                            <w:instrText xml:space="preserve"> FILLIN  "Please insert document date"  \* MERGEFORMAT </w:instrText>
                          </w:r>
                          <w:r w:rsidR="00777657">
                            <w:fldChar w:fldCharType="separate"/>
                          </w:r>
                          <w:r w:rsidR="008C0723">
                            <w:t>10</w:t>
                          </w:r>
                          <w:r w:rsidR="000247A3">
                            <w:t xml:space="preserve">. september </w:t>
                          </w:r>
                          <w:r w:rsidR="005B5539">
                            <w:t>2018</w:t>
                          </w:r>
                          <w:r w:rsidR="00777657">
                            <w:fldChar w:fldCharType="end"/>
                          </w:r>
                        </w:p>
                        <w:p w14:paraId="388D7CED" w14:textId="5A267443" w:rsidR="00DA1DD3" w:rsidRPr="00DA0444" w:rsidRDefault="004E697B" w:rsidP="002D66DA">
                          <w:pPr>
                            <w:pStyle w:val="FiDa-RammeKolofoninfo"/>
                          </w:pPr>
                          <w:r w:rsidRPr="00DA0444">
                            <w:t xml:space="preserve">Dok. nr. </w:t>
                          </w:r>
                          <w:bookmarkStart w:id="63" w:name="TR1_DOCNUMBER"/>
                          <w:bookmarkEnd w:id="63"/>
                          <w:r w:rsidR="00777657">
                            <w:fldChar w:fldCharType="begin"/>
                          </w:r>
                          <w:r w:rsidR="00777657" w:rsidRPr="00DA0444">
                            <w:instrText xml:space="preserve"> FILENAME  \* Upper  \* MERGEFORMAT </w:instrText>
                          </w:r>
                          <w:r w:rsidR="00777657">
                            <w:fldChar w:fldCharType="separate"/>
                          </w:r>
                          <w:r w:rsidR="005B5539">
                            <w:rPr>
                              <w:noProof/>
                            </w:rPr>
                            <w:t>FIDA-1568102655-2</w:t>
                          </w:r>
                          <w:r w:rsidR="00777657">
                            <w:fldChar w:fldCharType="end"/>
                          </w:r>
                          <w:r w:rsidRPr="00DA0444">
                            <w:t>-v</w:t>
                          </w:r>
                          <w:bookmarkStart w:id="64" w:name="TR1_PDDOCVERSION"/>
                          <w:bookmarkEnd w:id="64"/>
                          <w:r w:rsidR="00777657" w:rsidRPr="00DA0444">
                            <w:t>1</w:t>
                          </w:r>
                        </w:p>
                      </w:tc>
                    </w:tr>
                  </w:tbl>
                  <w:p w14:paraId="05C6354F" w14:textId="77777777" w:rsidR="00DA1DD3" w:rsidRPr="00DA0444" w:rsidRDefault="00DA1DD3" w:rsidP="00D632CB">
                    <w:pPr>
                      <w:pStyle w:val="FiDa-RammeKolofon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72"/>
    <w:multiLevelType w:val="hybridMultilevel"/>
    <w:tmpl w:val="6C2C46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9126C"/>
    <w:multiLevelType w:val="hybridMultilevel"/>
    <w:tmpl w:val="F5C411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309"/>
    <w:multiLevelType w:val="hybridMultilevel"/>
    <w:tmpl w:val="949CC64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1296C"/>
    <w:multiLevelType w:val="hybridMultilevel"/>
    <w:tmpl w:val="0D12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F88"/>
    <w:multiLevelType w:val="hybridMultilevel"/>
    <w:tmpl w:val="EFF880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5D8F"/>
    <w:multiLevelType w:val="singleLevel"/>
    <w:tmpl w:val="D8EEB4F8"/>
    <w:lvl w:ilvl="0">
      <w:start w:val="1"/>
      <w:numFmt w:val="none"/>
      <w:pStyle w:val="indryk"/>
      <w:lvlText w:val="At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0E34980"/>
    <w:multiLevelType w:val="multilevel"/>
    <w:tmpl w:val="547C7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3E69CE"/>
    <w:multiLevelType w:val="hybridMultilevel"/>
    <w:tmpl w:val="B798C50C"/>
    <w:lvl w:ilvl="0" w:tplc="0B200DD8">
      <w:start w:val="1"/>
      <w:numFmt w:val="upperLetter"/>
      <w:lvlText w:val="%1."/>
      <w:lvlJc w:val="left"/>
      <w:pPr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30C8C"/>
    <w:multiLevelType w:val="multilevel"/>
    <w:tmpl w:val="EE66535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E07D85"/>
    <w:multiLevelType w:val="singleLevel"/>
    <w:tmpl w:val="04D6F9D6"/>
    <w:lvl w:ilvl="0">
      <w:start w:val="1"/>
      <w:numFmt w:val="decimal"/>
      <w:pStyle w:val="Nummer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9EA7823"/>
    <w:multiLevelType w:val="hybridMultilevel"/>
    <w:tmpl w:val="0D12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167A5"/>
    <w:multiLevelType w:val="hybridMultilevel"/>
    <w:tmpl w:val="B798C50C"/>
    <w:lvl w:ilvl="0" w:tplc="0B200DD8">
      <w:start w:val="1"/>
      <w:numFmt w:val="upperLetter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45D3F"/>
    <w:multiLevelType w:val="hybridMultilevel"/>
    <w:tmpl w:val="7036591A"/>
    <w:lvl w:ilvl="0" w:tplc="9F58A344">
      <w:start w:val="1"/>
      <w:numFmt w:val="bullet"/>
      <w:pStyle w:val="-"/>
      <w:lvlText w:val="-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D5DDB"/>
    <w:multiLevelType w:val="hybridMultilevel"/>
    <w:tmpl w:val="641C1A98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255E5"/>
    <w:multiLevelType w:val="singleLevel"/>
    <w:tmpl w:val="6180C1C8"/>
    <w:lvl w:ilvl="0">
      <w:start w:val="1"/>
      <w:numFmt w:val="bullet"/>
      <w:pStyle w:val="Indryk0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EF5547F"/>
    <w:multiLevelType w:val="hybridMultilevel"/>
    <w:tmpl w:val="4FB665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6397E"/>
    <w:multiLevelType w:val="hybridMultilevel"/>
    <w:tmpl w:val="0D12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F6402"/>
    <w:multiLevelType w:val="multilevel"/>
    <w:tmpl w:val="984E7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DC0B88"/>
    <w:multiLevelType w:val="hybridMultilevel"/>
    <w:tmpl w:val="2DE2A9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E5AA5"/>
    <w:multiLevelType w:val="hybridMultilevel"/>
    <w:tmpl w:val="760C2B26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609F9"/>
    <w:multiLevelType w:val="hybridMultilevel"/>
    <w:tmpl w:val="90F81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7532A"/>
    <w:multiLevelType w:val="hybridMultilevel"/>
    <w:tmpl w:val="8CCC0B86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>
      <w:start w:val="1"/>
      <w:numFmt w:val="lowerLetter"/>
      <w:lvlText w:val="%2."/>
      <w:lvlJc w:val="left"/>
      <w:pPr>
        <w:ind w:left="1485" w:hanging="360"/>
      </w:pPr>
    </w:lvl>
    <w:lvl w:ilvl="2" w:tplc="0406001B">
      <w:start w:val="1"/>
      <w:numFmt w:val="lowerRoman"/>
      <w:lvlText w:val="%3."/>
      <w:lvlJc w:val="right"/>
      <w:pPr>
        <w:ind w:left="2205" w:hanging="180"/>
      </w:pPr>
    </w:lvl>
    <w:lvl w:ilvl="3" w:tplc="0406000F">
      <w:start w:val="1"/>
      <w:numFmt w:val="decimal"/>
      <w:lvlText w:val="%4."/>
      <w:lvlJc w:val="left"/>
      <w:pPr>
        <w:ind w:left="2925" w:hanging="360"/>
      </w:pPr>
    </w:lvl>
    <w:lvl w:ilvl="4" w:tplc="04060019">
      <w:start w:val="1"/>
      <w:numFmt w:val="lowerLetter"/>
      <w:lvlText w:val="%5."/>
      <w:lvlJc w:val="left"/>
      <w:pPr>
        <w:ind w:left="3645" w:hanging="360"/>
      </w:pPr>
    </w:lvl>
    <w:lvl w:ilvl="5" w:tplc="0406001B">
      <w:start w:val="1"/>
      <w:numFmt w:val="lowerRoman"/>
      <w:lvlText w:val="%6."/>
      <w:lvlJc w:val="right"/>
      <w:pPr>
        <w:ind w:left="4365" w:hanging="180"/>
      </w:pPr>
    </w:lvl>
    <w:lvl w:ilvl="6" w:tplc="0406000F">
      <w:start w:val="1"/>
      <w:numFmt w:val="decimal"/>
      <w:lvlText w:val="%7."/>
      <w:lvlJc w:val="left"/>
      <w:pPr>
        <w:ind w:left="5085" w:hanging="360"/>
      </w:pPr>
    </w:lvl>
    <w:lvl w:ilvl="7" w:tplc="04060019">
      <w:start w:val="1"/>
      <w:numFmt w:val="lowerLetter"/>
      <w:lvlText w:val="%8."/>
      <w:lvlJc w:val="left"/>
      <w:pPr>
        <w:ind w:left="5805" w:hanging="360"/>
      </w:pPr>
    </w:lvl>
    <w:lvl w:ilvl="8" w:tplc="0406001B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C4E0B1D"/>
    <w:multiLevelType w:val="hybridMultilevel"/>
    <w:tmpl w:val="B798C50C"/>
    <w:lvl w:ilvl="0" w:tplc="0B200DD8">
      <w:start w:val="1"/>
      <w:numFmt w:val="upperLetter"/>
      <w:lvlText w:val="%1."/>
      <w:lvlJc w:val="left"/>
      <w:pPr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4A62E6"/>
    <w:multiLevelType w:val="hybridMultilevel"/>
    <w:tmpl w:val="0D12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7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20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9"/>
  </w:num>
  <w:num w:numId="16">
    <w:abstractNumId w:val="11"/>
  </w:num>
  <w:num w:numId="17">
    <w:abstractNumId w:val="10"/>
  </w:num>
  <w:num w:numId="18">
    <w:abstractNumId w:val="22"/>
  </w:num>
  <w:num w:numId="19">
    <w:abstractNumId w:val="23"/>
  </w:num>
  <w:num w:numId="20">
    <w:abstractNumId w:val="16"/>
  </w:num>
  <w:num w:numId="21">
    <w:abstractNumId w:val="6"/>
  </w:num>
  <w:num w:numId="22">
    <w:abstractNumId w:val="13"/>
  </w:num>
  <w:num w:numId="23">
    <w:abstractNumId w:val="4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32"/>
    <w:rsid w:val="00021943"/>
    <w:rsid w:val="000247A3"/>
    <w:rsid w:val="00040FF3"/>
    <w:rsid w:val="00042FC5"/>
    <w:rsid w:val="000656B7"/>
    <w:rsid w:val="00082F8D"/>
    <w:rsid w:val="0008765F"/>
    <w:rsid w:val="00087F40"/>
    <w:rsid w:val="000B1BF6"/>
    <w:rsid w:val="000C6C5C"/>
    <w:rsid w:val="000E43FB"/>
    <w:rsid w:val="0010139C"/>
    <w:rsid w:val="00110E44"/>
    <w:rsid w:val="001575CC"/>
    <w:rsid w:val="00157832"/>
    <w:rsid w:val="0016420F"/>
    <w:rsid w:val="001902AC"/>
    <w:rsid w:val="00194505"/>
    <w:rsid w:val="00197675"/>
    <w:rsid w:val="001A4BB4"/>
    <w:rsid w:val="001C5181"/>
    <w:rsid w:val="001C67CE"/>
    <w:rsid w:val="001E47BB"/>
    <w:rsid w:val="001F2417"/>
    <w:rsid w:val="00204EA2"/>
    <w:rsid w:val="00211441"/>
    <w:rsid w:val="00223FF7"/>
    <w:rsid w:val="00227252"/>
    <w:rsid w:val="00277114"/>
    <w:rsid w:val="0028447F"/>
    <w:rsid w:val="0028743B"/>
    <w:rsid w:val="002B4A70"/>
    <w:rsid w:val="002B6FE0"/>
    <w:rsid w:val="002D66DA"/>
    <w:rsid w:val="002F16AA"/>
    <w:rsid w:val="002F468C"/>
    <w:rsid w:val="0030129C"/>
    <w:rsid w:val="003168CA"/>
    <w:rsid w:val="003207A6"/>
    <w:rsid w:val="003240C4"/>
    <w:rsid w:val="0032580C"/>
    <w:rsid w:val="0033441B"/>
    <w:rsid w:val="003542C1"/>
    <w:rsid w:val="00367C0E"/>
    <w:rsid w:val="003809E7"/>
    <w:rsid w:val="00390A8E"/>
    <w:rsid w:val="003B5FE1"/>
    <w:rsid w:val="003B754F"/>
    <w:rsid w:val="003C7268"/>
    <w:rsid w:val="003D1C47"/>
    <w:rsid w:val="003E1D23"/>
    <w:rsid w:val="003E6E44"/>
    <w:rsid w:val="003F39D8"/>
    <w:rsid w:val="004104B2"/>
    <w:rsid w:val="00417F1B"/>
    <w:rsid w:val="00425FFE"/>
    <w:rsid w:val="004338AA"/>
    <w:rsid w:val="00462E5F"/>
    <w:rsid w:val="004649D5"/>
    <w:rsid w:val="004704AA"/>
    <w:rsid w:val="00470B40"/>
    <w:rsid w:val="004B3623"/>
    <w:rsid w:val="004C1C4D"/>
    <w:rsid w:val="004D4A57"/>
    <w:rsid w:val="004E2ED8"/>
    <w:rsid w:val="004E697B"/>
    <w:rsid w:val="0051204C"/>
    <w:rsid w:val="005138AF"/>
    <w:rsid w:val="005152BB"/>
    <w:rsid w:val="00542E35"/>
    <w:rsid w:val="00555E9E"/>
    <w:rsid w:val="00587B0C"/>
    <w:rsid w:val="00596CAD"/>
    <w:rsid w:val="005A63A7"/>
    <w:rsid w:val="005B5539"/>
    <w:rsid w:val="005B6F47"/>
    <w:rsid w:val="005D6D74"/>
    <w:rsid w:val="005E1B40"/>
    <w:rsid w:val="005E62DA"/>
    <w:rsid w:val="005E64C5"/>
    <w:rsid w:val="005F4ADD"/>
    <w:rsid w:val="006343CE"/>
    <w:rsid w:val="00637B8B"/>
    <w:rsid w:val="00662326"/>
    <w:rsid w:val="0066485D"/>
    <w:rsid w:val="00672870"/>
    <w:rsid w:val="00693422"/>
    <w:rsid w:val="006976FE"/>
    <w:rsid w:val="006D68BD"/>
    <w:rsid w:val="006E29A5"/>
    <w:rsid w:val="00705000"/>
    <w:rsid w:val="0070555B"/>
    <w:rsid w:val="0071772A"/>
    <w:rsid w:val="00761B97"/>
    <w:rsid w:val="00763A31"/>
    <w:rsid w:val="00777657"/>
    <w:rsid w:val="007A64BF"/>
    <w:rsid w:val="007E033E"/>
    <w:rsid w:val="007E3F04"/>
    <w:rsid w:val="007E4C58"/>
    <w:rsid w:val="007E60D9"/>
    <w:rsid w:val="008014B9"/>
    <w:rsid w:val="00803B84"/>
    <w:rsid w:val="0082356B"/>
    <w:rsid w:val="00830DAA"/>
    <w:rsid w:val="008410CF"/>
    <w:rsid w:val="00842DB6"/>
    <w:rsid w:val="00846FF8"/>
    <w:rsid w:val="00870B15"/>
    <w:rsid w:val="008A73A0"/>
    <w:rsid w:val="008B7732"/>
    <w:rsid w:val="008C0723"/>
    <w:rsid w:val="008F1C5D"/>
    <w:rsid w:val="008F7CD8"/>
    <w:rsid w:val="009003C8"/>
    <w:rsid w:val="00930287"/>
    <w:rsid w:val="00946446"/>
    <w:rsid w:val="00960157"/>
    <w:rsid w:val="009A1083"/>
    <w:rsid w:val="009A1656"/>
    <w:rsid w:val="009A55A4"/>
    <w:rsid w:val="009B1F0B"/>
    <w:rsid w:val="009B45C8"/>
    <w:rsid w:val="009E620B"/>
    <w:rsid w:val="009F023D"/>
    <w:rsid w:val="00A045F3"/>
    <w:rsid w:val="00A05A65"/>
    <w:rsid w:val="00A279B6"/>
    <w:rsid w:val="00A32C77"/>
    <w:rsid w:val="00A43F67"/>
    <w:rsid w:val="00A527B7"/>
    <w:rsid w:val="00A562E4"/>
    <w:rsid w:val="00A601A2"/>
    <w:rsid w:val="00A623C5"/>
    <w:rsid w:val="00A8396F"/>
    <w:rsid w:val="00AA70F5"/>
    <w:rsid w:val="00AE69AD"/>
    <w:rsid w:val="00AE724B"/>
    <w:rsid w:val="00AF071C"/>
    <w:rsid w:val="00AF2B7C"/>
    <w:rsid w:val="00AF369A"/>
    <w:rsid w:val="00AF53A5"/>
    <w:rsid w:val="00B028C6"/>
    <w:rsid w:val="00B10DDC"/>
    <w:rsid w:val="00B22AC7"/>
    <w:rsid w:val="00B3673F"/>
    <w:rsid w:val="00B43654"/>
    <w:rsid w:val="00B608E3"/>
    <w:rsid w:val="00B6730B"/>
    <w:rsid w:val="00B824A3"/>
    <w:rsid w:val="00B86F9D"/>
    <w:rsid w:val="00B91790"/>
    <w:rsid w:val="00BA6FB9"/>
    <w:rsid w:val="00BC2BCA"/>
    <w:rsid w:val="00BC62DD"/>
    <w:rsid w:val="00BD245E"/>
    <w:rsid w:val="00C20F1D"/>
    <w:rsid w:val="00C24F6E"/>
    <w:rsid w:val="00C25527"/>
    <w:rsid w:val="00C358AA"/>
    <w:rsid w:val="00C53696"/>
    <w:rsid w:val="00C5639A"/>
    <w:rsid w:val="00C718D4"/>
    <w:rsid w:val="00C80977"/>
    <w:rsid w:val="00C85425"/>
    <w:rsid w:val="00C9330E"/>
    <w:rsid w:val="00C95250"/>
    <w:rsid w:val="00CA1632"/>
    <w:rsid w:val="00CA2070"/>
    <w:rsid w:val="00CB2447"/>
    <w:rsid w:val="00CC7420"/>
    <w:rsid w:val="00CE1107"/>
    <w:rsid w:val="00CE697D"/>
    <w:rsid w:val="00CE6E02"/>
    <w:rsid w:val="00CF1A96"/>
    <w:rsid w:val="00CF786F"/>
    <w:rsid w:val="00D01EDC"/>
    <w:rsid w:val="00D02997"/>
    <w:rsid w:val="00D20489"/>
    <w:rsid w:val="00D30185"/>
    <w:rsid w:val="00D3354D"/>
    <w:rsid w:val="00D510AE"/>
    <w:rsid w:val="00D62870"/>
    <w:rsid w:val="00D632CB"/>
    <w:rsid w:val="00D74A74"/>
    <w:rsid w:val="00D83B53"/>
    <w:rsid w:val="00D86F74"/>
    <w:rsid w:val="00D87175"/>
    <w:rsid w:val="00D90371"/>
    <w:rsid w:val="00DA0444"/>
    <w:rsid w:val="00DA1DD3"/>
    <w:rsid w:val="00DA2F8A"/>
    <w:rsid w:val="00DD063B"/>
    <w:rsid w:val="00E0137A"/>
    <w:rsid w:val="00E17064"/>
    <w:rsid w:val="00E3120C"/>
    <w:rsid w:val="00E44664"/>
    <w:rsid w:val="00E604BA"/>
    <w:rsid w:val="00E81277"/>
    <w:rsid w:val="00E9293C"/>
    <w:rsid w:val="00EB237F"/>
    <w:rsid w:val="00EC3ED5"/>
    <w:rsid w:val="00ED3706"/>
    <w:rsid w:val="00EE256C"/>
    <w:rsid w:val="00EE643E"/>
    <w:rsid w:val="00EF01C0"/>
    <w:rsid w:val="00F01BC8"/>
    <w:rsid w:val="00F23AFF"/>
    <w:rsid w:val="00F3454F"/>
    <w:rsid w:val="00F35DFE"/>
    <w:rsid w:val="00F41EF4"/>
    <w:rsid w:val="00F4716A"/>
    <w:rsid w:val="00F53A0F"/>
    <w:rsid w:val="00F70EB5"/>
    <w:rsid w:val="00F81B02"/>
    <w:rsid w:val="00F82357"/>
    <w:rsid w:val="00F9286E"/>
    <w:rsid w:val="00FA0900"/>
    <w:rsid w:val="00FB32AC"/>
    <w:rsid w:val="00FD5A43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9CE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alian Plate No2 Expanded" w:eastAsia="Times New Roman" w:hAnsi="Italian Plate No2 Expanded" w:cs="Times New Roman"/>
        <w:sz w:val="18"/>
        <w:szCs w:val="18"/>
        <w:lang w:val="pl-PL" w:eastAsia="pl-PL" w:bidi="ar-SA"/>
      </w:rPr>
    </w:rPrDefault>
    <w:pPrDefault/>
  </w:docDefaults>
  <w:latentStyles w:defLockedState="0" w:defUIPriority="49" w:defSemiHidden="0" w:defUnhideWhenUsed="0" w:defQFormat="0" w:count="375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uiPriority="50" w:unhideWhenUsed="1" w:qFormat="1"/>
    <w:lsdException w:name="heading 5" w:semiHidden="1" w:uiPriority="50" w:unhideWhenUsed="1" w:qFormat="1"/>
    <w:lsdException w:name="heading 6" w:semiHidden="1" w:uiPriority="50" w:unhideWhenUsed="1" w:qFormat="1"/>
    <w:lsdException w:name="heading 7" w:semiHidden="1" w:uiPriority="50" w:unhideWhenUsed="1" w:qFormat="1"/>
    <w:lsdException w:name="heading 8" w:semiHidden="1" w:uiPriority="50" w:unhideWhenUsed="1" w:qFormat="1"/>
    <w:lsdException w:name="heading 9" w:semiHidden="1" w:uiPriority="5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27B7"/>
    <w:pPr>
      <w:tabs>
        <w:tab w:val="left" w:pos="284"/>
      </w:tabs>
      <w:spacing w:line="360" w:lineRule="auto"/>
    </w:pPr>
    <w:rPr>
      <w:rFonts w:ascii="Century Gothic" w:hAnsi="Century Gothic"/>
      <w:lang w:val="da-DK"/>
    </w:rPr>
  </w:style>
  <w:style w:type="paragraph" w:styleId="Overskrift1">
    <w:name w:val="heading 1"/>
    <w:basedOn w:val="Normal"/>
    <w:next w:val="Normal"/>
    <w:uiPriority w:val="1"/>
    <w:qFormat/>
    <w:rsid w:val="00EB237F"/>
    <w:pPr>
      <w:keepNext/>
      <w:keepLines/>
      <w:spacing w:after="90" w:line="240" w:lineRule="auto"/>
      <w:contextualSpacing/>
      <w:outlineLvl w:val="0"/>
    </w:pPr>
    <w:rPr>
      <w:sz w:val="36"/>
      <w:szCs w:val="22"/>
    </w:rPr>
  </w:style>
  <w:style w:type="paragraph" w:styleId="Overskrift2">
    <w:name w:val="heading 2"/>
    <w:basedOn w:val="Normal"/>
    <w:next w:val="Normal"/>
    <w:uiPriority w:val="2"/>
    <w:qFormat/>
    <w:rsid w:val="00EB237F"/>
    <w:pPr>
      <w:keepNext/>
      <w:keepLines/>
      <w:spacing w:after="90" w:line="240" w:lineRule="auto"/>
      <w:contextualSpacing/>
      <w:outlineLvl w:val="1"/>
    </w:pPr>
    <w:rPr>
      <w:b/>
      <w:sz w:val="24"/>
      <w:szCs w:val="20"/>
    </w:rPr>
  </w:style>
  <w:style w:type="paragraph" w:styleId="Overskrift3">
    <w:name w:val="heading 3"/>
    <w:basedOn w:val="Normal"/>
    <w:next w:val="Normal"/>
    <w:uiPriority w:val="3"/>
    <w:qFormat/>
    <w:rsid w:val="00EB237F"/>
    <w:pPr>
      <w:keepNext/>
      <w:keepLines/>
      <w:spacing w:after="90" w:line="240" w:lineRule="auto"/>
      <w:contextualSpacing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uiPriority w:val="50"/>
    <w:pPr>
      <w:tabs>
        <w:tab w:val="center" w:pos="4275"/>
      </w:tabs>
      <w:spacing w:before="960"/>
    </w:pPr>
    <w:rPr>
      <w:rFonts w:ascii="Times New Roman" w:hAnsi="Times New Roman"/>
      <w:caps/>
      <w:noProof/>
      <w:spacing w:val="60"/>
      <w:sz w:val="20"/>
      <w:szCs w:val="20"/>
    </w:rPr>
  </w:style>
  <w:style w:type="paragraph" w:customStyle="1" w:styleId="Margintekst">
    <w:name w:val="Margintekst"/>
    <w:basedOn w:val="Normal"/>
    <w:uiPriority w:val="50"/>
    <w:rPr>
      <w:sz w:val="14"/>
      <w:szCs w:val="14"/>
    </w:rPr>
  </w:style>
  <w:style w:type="paragraph" w:customStyle="1" w:styleId="Nummerliste">
    <w:name w:val="Nummerliste"/>
    <w:basedOn w:val="Normal"/>
    <w:uiPriority w:val="50"/>
    <w:pPr>
      <w:numPr>
        <w:numId w:val="1"/>
      </w:numPr>
    </w:pPr>
  </w:style>
  <w:style w:type="paragraph" w:customStyle="1" w:styleId="Indryk0">
    <w:name w:val="Indryk"/>
    <w:basedOn w:val="Normal"/>
    <w:uiPriority w:val="50"/>
    <w:pPr>
      <w:numPr>
        <w:numId w:val="3"/>
      </w:numPr>
    </w:pPr>
  </w:style>
  <w:style w:type="paragraph" w:customStyle="1" w:styleId="indryk">
    <w:name w:val="_indryk"/>
    <w:basedOn w:val="Normal"/>
    <w:uiPriority w:val="50"/>
    <w:pPr>
      <w:numPr>
        <w:numId w:val="2"/>
      </w:numPr>
      <w:tabs>
        <w:tab w:val="clear" w:pos="284"/>
      </w:tabs>
    </w:pPr>
  </w:style>
  <w:style w:type="paragraph" w:styleId="Sidehoved">
    <w:name w:val="header"/>
    <w:basedOn w:val="Normal"/>
    <w:uiPriority w:val="49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uiPriority w:val="49"/>
    <w:pPr>
      <w:tabs>
        <w:tab w:val="center" w:pos="4986"/>
        <w:tab w:val="right" w:pos="9972"/>
      </w:tabs>
    </w:p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E43FB"/>
    <w:rPr>
      <w:color w:val="808080"/>
    </w:rPr>
  </w:style>
  <w:style w:type="paragraph" w:styleId="Markeringsbobletekst">
    <w:name w:val="Balloon Text"/>
    <w:basedOn w:val="Normal"/>
    <w:link w:val="MarkeringsbobletekstTegn"/>
    <w:uiPriority w:val="49"/>
    <w:rsid w:val="000E43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49"/>
    <w:rsid w:val="009B1F0B"/>
    <w:rPr>
      <w:rFonts w:ascii="Tahoma" w:hAnsi="Tahoma" w:cs="Tahoma"/>
      <w:sz w:val="16"/>
      <w:szCs w:val="16"/>
      <w:lang w:val="da-DK" w:eastAsia="en-US"/>
    </w:rPr>
  </w:style>
  <w:style w:type="paragraph" w:styleId="Listeafsnit">
    <w:name w:val="List Paragraph"/>
    <w:aliases w:val="zListeafsnit"/>
    <w:basedOn w:val="Normal"/>
    <w:link w:val="ListeafsnitTegn"/>
    <w:uiPriority w:val="34"/>
    <w:qFormat/>
    <w:rsid w:val="00D01EDC"/>
    <w:pPr>
      <w:ind w:left="720"/>
      <w:contextualSpacing/>
    </w:pPr>
  </w:style>
  <w:style w:type="paragraph" w:customStyle="1" w:styleId="-">
    <w:name w:val="-"/>
    <w:basedOn w:val="Listeafsnit"/>
    <w:link w:val="-Char"/>
    <w:qFormat/>
    <w:rsid w:val="00D01EDC"/>
    <w:pPr>
      <w:numPr>
        <w:numId w:val="4"/>
      </w:numPr>
      <w:tabs>
        <w:tab w:val="clear" w:pos="284"/>
      </w:tabs>
    </w:pPr>
  </w:style>
  <w:style w:type="character" w:customStyle="1" w:styleId="ListeafsnitTegn">
    <w:name w:val="Listeafsnit Tegn"/>
    <w:aliases w:val="zListeafsnit Tegn"/>
    <w:basedOn w:val="Standardskrifttypeiafsnit"/>
    <w:link w:val="Listeafsnit"/>
    <w:uiPriority w:val="34"/>
    <w:rsid w:val="009B1F0B"/>
    <w:rPr>
      <w:rFonts w:ascii="Italian Plate No2 Expanded" w:hAnsi="Italian Plate No2 Expanded"/>
      <w:sz w:val="18"/>
      <w:szCs w:val="18"/>
      <w:lang w:val="da-DK" w:eastAsia="en-US"/>
    </w:rPr>
  </w:style>
  <w:style w:type="character" w:customStyle="1" w:styleId="-Char">
    <w:name w:val="- Char"/>
    <w:basedOn w:val="ListeafsnitTegn"/>
    <w:link w:val="-"/>
    <w:rsid w:val="00D01EDC"/>
    <w:rPr>
      <w:rFonts w:ascii="Century Gothic" w:hAnsi="Century Gothic"/>
      <w:sz w:val="18"/>
      <w:szCs w:val="18"/>
      <w:lang w:val="da-DK" w:eastAsia="en-US"/>
    </w:rPr>
  </w:style>
  <w:style w:type="paragraph" w:customStyle="1" w:styleId="BrdtekstFD">
    <w:name w:val="Brødtekst_FD"/>
    <w:basedOn w:val="Normal"/>
    <w:link w:val="BrdtekstFDTegn"/>
    <w:uiPriority w:val="50"/>
    <w:rsid w:val="00A279B6"/>
  </w:style>
  <w:style w:type="paragraph" w:customStyle="1" w:styleId="Manchet">
    <w:name w:val="Manchet"/>
    <w:basedOn w:val="Normal"/>
    <w:next w:val="Normal"/>
    <w:link w:val="ManchetTegn"/>
    <w:uiPriority w:val="4"/>
    <w:qFormat/>
    <w:rsid w:val="008014B9"/>
    <w:rPr>
      <w:i/>
      <w:sz w:val="24"/>
      <w:szCs w:val="24"/>
    </w:rPr>
  </w:style>
  <w:style w:type="character" w:customStyle="1" w:styleId="BrdtekstFDTegn">
    <w:name w:val="Brødtekst_FD Tegn"/>
    <w:basedOn w:val="Standardskrifttypeiafsnit"/>
    <w:link w:val="BrdtekstFD"/>
    <w:uiPriority w:val="50"/>
    <w:rsid w:val="009B1F0B"/>
    <w:rPr>
      <w:rFonts w:ascii="Italian Plate No2 Expanded" w:hAnsi="Italian Plate No2 Expanded"/>
      <w:sz w:val="18"/>
      <w:szCs w:val="18"/>
      <w:lang w:val="da-DK" w:eastAsia="en-US"/>
    </w:rPr>
  </w:style>
  <w:style w:type="paragraph" w:customStyle="1" w:styleId="FiDa-RammeKategori">
    <w:name w:val="(FiDa-Ramme) Kategori"/>
    <w:basedOn w:val="Normal"/>
    <w:next w:val="Normal"/>
    <w:link w:val="FiDa-RammeKategoriTegn"/>
    <w:uiPriority w:val="20"/>
    <w:qFormat/>
    <w:rsid w:val="00D74A74"/>
    <w:rPr>
      <w:rFonts w:cs="Arial"/>
      <w:b/>
      <w:noProof/>
      <w:color w:val="3F4444"/>
      <w:sz w:val="24"/>
      <w:lang w:eastAsia="da-DK"/>
    </w:rPr>
  </w:style>
  <w:style w:type="character" w:customStyle="1" w:styleId="ManchetTegn">
    <w:name w:val="Manchet Tegn"/>
    <w:basedOn w:val="BrdtekstFDTegn"/>
    <w:link w:val="Manchet"/>
    <w:uiPriority w:val="4"/>
    <w:rsid w:val="009B1F0B"/>
    <w:rPr>
      <w:rFonts w:ascii="Italian Plate No2 Expanded" w:hAnsi="Italian Plate No2 Expanded"/>
      <w:i/>
      <w:sz w:val="24"/>
      <w:szCs w:val="24"/>
      <w:lang w:val="da-DK" w:eastAsia="en-US"/>
    </w:rPr>
  </w:style>
  <w:style w:type="paragraph" w:customStyle="1" w:styleId="FiDa-RammeKolofoninfo">
    <w:name w:val="(FiDa-Ramme) Kolofoninfo"/>
    <w:basedOn w:val="Normal"/>
    <w:link w:val="FiDa-RammeKolofoninfoTegn"/>
    <w:uiPriority w:val="20"/>
    <w:qFormat/>
    <w:rsid w:val="00D74A74"/>
    <w:rPr>
      <w:color w:val="253746"/>
      <w:sz w:val="14"/>
      <w:szCs w:val="14"/>
      <w:lang w:eastAsia="da-DK"/>
    </w:rPr>
  </w:style>
  <w:style w:type="character" w:customStyle="1" w:styleId="FiDa-RammeKategoriTegn">
    <w:name w:val="(FiDa-Ramme) Kategori Tegn"/>
    <w:basedOn w:val="Standardskrifttypeiafsnit"/>
    <w:link w:val="FiDa-RammeKategori"/>
    <w:uiPriority w:val="20"/>
    <w:rsid w:val="00D74A74"/>
    <w:rPr>
      <w:rFonts w:ascii="Century Gothic" w:hAnsi="Century Gothic" w:cs="Arial"/>
      <w:b/>
      <w:noProof/>
      <w:color w:val="3F4444"/>
      <w:sz w:val="24"/>
      <w:lang w:val="da-DK" w:eastAsia="da-DK"/>
    </w:rPr>
  </w:style>
  <w:style w:type="paragraph" w:customStyle="1" w:styleId="FiDa-RammeKolofoninfolys">
    <w:name w:val="(FiDa-Ramme) Kolofoninfo lys"/>
    <w:basedOn w:val="Normal"/>
    <w:link w:val="FiDa-RammeKolofoninfolysTegn"/>
    <w:uiPriority w:val="20"/>
    <w:qFormat/>
    <w:rsid w:val="00D74A74"/>
    <w:rPr>
      <w:color w:val="A6A6A6"/>
      <w:sz w:val="14"/>
    </w:rPr>
  </w:style>
  <w:style w:type="character" w:customStyle="1" w:styleId="FiDa-RammeKolofoninfoTegn">
    <w:name w:val="(FiDa-Ramme) Kolofoninfo Tegn"/>
    <w:basedOn w:val="Standardskrifttypeiafsnit"/>
    <w:link w:val="FiDa-RammeKolofoninfo"/>
    <w:uiPriority w:val="20"/>
    <w:rsid w:val="00D74A74"/>
    <w:rPr>
      <w:rFonts w:ascii="Century Gothic" w:hAnsi="Century Gothic"/>
      <w:color w:val="253746"/>
      <w:sz w:val="14"/>
      <w:szCs w:val="14"/>
      <w:lang w:val="da-DK" w:eastAsia="da-DK"/>
    </w:rPr>
  </w:style>
  <w:style w:type="paragraph" w:customStyle="1" w:styleId="FiDa-RammeKategorilys">
    <w:name w:val="(FiDa-Ramme) Kategori lys"/>
    <w:basedOn w:val="Normal"/>
    <w:link w:val="FiDa-RammeKategorilysTegn"/>
    <w:uiPriority w:val="20"/>
    <w:qFormat/>
    <w:rsid w:val="00D74A74"/>
    <w:rPr>
      <w:b/>
      <w:color w:val="A6A6A6"/>
      <w:sz w:val="24"/>
    </w:rPr>
  </w:style>
  <w:style w:type="character" w:customStyle="1" w:styleId="FiDa-RammeKolofoninfolysTegn">
    <w:name w:val="(FiDa-Ramme) Kolofoninfo lys Tegn"/>
    <w:basedOn w:val="Standardskrifttypeiafsnit"/>
    <w:link w:val="FiDa-RammeKolofoninfolys"/>
    <w:uiPriority w:val="20"/>
    <w:rsid w:val="00D74A74"/>
    <w:rPr>
      <w:rFonts w:ascii="Century Gothic" w:hAnsi="Century Gothic"/>
      <w:color w:val="A6A6A6"/>
      <w:sz w:val="14"/>
      <w:lang w:val="da-DK"/>
    </w:rPr>
  </w:style>
  <w:style w:type="paragraph" w:customStyle="1" w:styleId="Adressetilmodtager">
    <w:name w:val="Adresse til modtager"/>
    <w:basedOn w:val="Normal"/>
    <w:link w:val="AdressetilmodtagerTegn"/>
    <w:uiPriority w:val="5"/>
    <w:qFormat/>
    <w:rsid w:val="00E81277"/>
    <w:pPr>
      <w:spacing w:line="240" w:lineRule="auto"/>
    </w:pPr>
    <w:rPr>
      <w:lang w:eastAsia="da-DK"/>
    </w:rPr>
  </w:style>
  <w:style w:type="character" w:customStyle="1" w:styleId="FiDa-RammeKategorilysTegn">
    <w:name w:val="(FiDa-Ramme) Kategori lys Tegn"/>
    <w:basedOn w:val="FiDa-RammeKategoriTegn"/>
    <w:link w:val="FiDa-RammeKategorilys"/>
    <w:uiPriority w:val="20"/>
    <w:rsid w:val="00D74A74"/>
    <w:rPr>
      <w:rFonts w:ascii="Century Gothic" w:hAnsi="Century Gothic" w:cs="Arial"/>
      <w:b/>
      <w:noProof/>
      <w:color w:val="A6A6A6"/>
      <w:sz w:val="24"/>
      <w:lang w:val="da-DK" w:eastAsia="da-DK"/>
    </w:rPr>
  </w:style>
  <w:style w:type="paragraph" w:customStyle="1" w:styleId="For-ogefternavn">
    <w:name w:val="For- og efternavn"/>
    <w:basedOn w:val="Normal"/>
    <w:next w:val="Normal"/>
    <w:link w:val="For-ogefternavnTegn"/>
    <w:qFormat/>
    <w:rsid w:val="0030129C"/>
    <w:rPr>
      <w:b/>
      <w:lang w:eastAsia="da-DK"/>
    </w:rPr>
  </w:style>
  <w:style w:type="character" w:customStyle="1" w:styleId="AdressetilmodtagerTegn">
    <w:name w:val="Adresse til modtager Tegn"/>
    <w:basedOn w:val="Standardskrifttypeiafsnit"/>
    <w:link w:val="Adressetilmodtager"/>
    <w:uiPriority w:val="5"/>
    <w:rsid w:val="00E81277"/>
    <w:rPr>
      <w:rFonts w:ascii="Century Gothic" w:hAnsi="Century Gothic"/>
      <w:lang w:eastAsia="da-DK"/>
    </w:rPr>
  </w:style>
  <w:style w:type="paragraph" w:customStyle="1" w:styleId="FiDa-RammeSidefodog-hoved">
    <w:name w:val="(FiDa-Ramme) Sidefod og -hoved"/>
    <w:basedOn w:val="Normal"/>
    <w:link w:val="FiDa-RammeSidefodog-hovedTegn"/>
    <w:uiPriority w:val="20"/>
    <w:qFormat/>
    <w:rsid w:val="00D74A74"/>
    <w:rPr>
      <w:color w:val="3F4444"/>
      <w:sz w:val="14"/>
      <w:lang w:eastAsia="da-DK"/>
    </w:rPr>
  </w:style>
  <w:style w:type="character" w:customStyle="1" w:styleId="For-ogefternavnTegn">
    <w:name w:val="For- og efternavn Tegn"/>
    <w:basedOn w:val="Standardskrifttypeiafsnit"/>
    <w:link w:val="For-ogefternavn"/>
    <w:rsid w:val="009B1F0B"/>
    <w:rPr>
      <w:rFonts w:ascii="Italian Plate No2 Expanded" w:hAnsi="Italian Plate No2 Expanded"/>
      <w:b/>
      <w:sz w:val="18"/>
      <w:szCs w:val="18"/>
      <w:lang w:val="da-DK" w:eastAsia="da-DK"/>
    </w:rPr>
  </w:style>
  <w:style w:type="paragraph" w:customStyle="1" w:styleId="BilledtekstFiDa">
    <w:name w:val="Billedtekst (FiDa)"/>
    <w:basedOn w:val="Normal"/>
    <w:next w:val="Normal"/>
    <w:link w:val="BilledtekstFiDaTegn"/>
    <w:uiPriority w:val="5"/>
    <w:qFormat/>
    <w:rsid w:val="007E4C58"/>
    <w:rPr>
      <w:color w:val="838B87"/>
      <w:lang w:eastAsia="da-DK"/>
    </w:rPr>
  </w:style>
  <w:style w:type="character" w:customStyle="1" w:styleId="FiDa-RammeSidefodog-hovedTegn">
    <w:name w:val="(FiDa-Ramme) Sidefod og -hoved Tegn"/>
    <w:basedOn w:val="Standardskrifttypeiafsnit"/>
    <w:link w:val="FiDa-RammeSidefodog-hoved"/>
    <w:uiPriority w:val="20"/>
    <w:rsid w:val="00D74A74"/>
    <w:rPr>
      <w:rFonts w:ascii="Century Gothic" w:hAnsi="Century Gothic"/>
      <w:color w:val="3F4444"/>
      <w:sz w:val="14"/>
      <w:lang w:val="da-DK" w:eastAsia="da-DK"/>
    </w:rPr>
  </w:style>
  <w:style w:type="character" w:styleId="Fremhv">
    <w:name w:val="Emphasis"/>
    <w:aliases w:val="zFremhæv"/>
    <w:basedOn w:val="Standardskrifttypeiafsnit"/>
    <w:uiPriority w:val="49"/>
    <w:rsid w:val="0030129C"/>
    <w:rPr>
      <w:i/>
      <w:iCs/>
    </w:rPr>
  </w:style>
  <w:style w:type="character" w:customStyle="1" w:styleId="BilledtekstFiDaTegn">
    <w:name w:val="Billedtekst (FiDa) Tegn"/>
    <w:basedOn w:val="Standardskrifttypeiafsnit"/>
    <w:link w:val="BilledtekstFiDa"/>
    <w:uiPriority w:val="5"/>
    <w:rsid w:val="007E4C58"/>
    <w:rPr>
      <w:rFonts w:ascii="Century Gothic" w:hAnsi="Century Gothic"/>
      <w:color w:val="838B87"/>
      <w:lang w:eastAsia="da-DK"/>
    </w:rPr>
  </w:style>
  <w:style w:type="character" w:styleId="Strk">
    <w:name w:val="Strong"/>
    <w:aliases w:val="zStærk"/>
    <w:basedOn w:val="Standardskrifttypeiafsnit"/>
    <w:uiPriority w:val="49"/>
    <w:rsid w:val="0030129C"/>
    <w:rPr>
      <w:b/>
      <w:bCs/>
    </w:rPr>
  </w:style>
  <w:style w:type="paragraph" w:styleId="Titel">
    <w:name w:val="Title"/>
    <w:aliases w:val="zTitel"/>
    <w:basedOn w:val="Normal"/>
    <w:next w:val="Normal"/>
    <w:link w:val="TitelTegn"/>
    <w:uiPriority w:val="49"/>
    <w:rsid w:val="0030129C"/>
    <w:pPr>
      <w:pBdr>
        <w:bottom w:val="single" w:sz="8" w:space="4" w:color="E4002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D1D1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aliases w:val="zTitel Tegn"/>
    <w:basedOn w:val="Standardskrifttypeiafsnit"/>
    <w:link w:val="Titel"/>
    <w:uiPriority w:val="49"/>
    <w:rsid w:val="009B1F0B"/>
    <w:rPr>
      <w:rFonts w:asciiTheme="majorHAnsi" w:eastAsiaTheme="majorEastAsia" w:hAnsiTheme="majorHAnsi" w:cstheme="majorBidi"/>
      <w:color w:val="1D1D1D" w:themeColor="text2" w:themeShade="BF"/>
      <w:spacing w:val="5"/>
      <w:kern w:val="28"/>
      <w:sz w:val="52"/>
      <w:szCs w:val="52"/>
      <w:lang w:val="da-DK" w:eastAsia="en-US"/>
    </w:rPr>
  </w:style>
  <w:style w:type="paragraph" w:styleId="Undertitel">
    <w:name w:val="Subtitle"/>
    <w:aliases w:val="zUndertitel"/>
    <w:basedOn w:val="Normal"/>
    <w:next w:val="Normal"/>
    <w:link w:val="UndertitelTegn"/>
    <w:uiPriority w:val="49"/>
    <w:rsid w:val="0030129C"/>
    <w:pPr>
      <w:numPr>
        <w:ilvl w:val="1"/>
      </w:numPr>
    </w:pPr>
    <w:rPr>
      <w:rFonts w:asciiTheme="majorHAnsi" w:eastAsiaTheme="majorEastAsia" w:hAnsiTheme="majorHAnsi" w:cstheme="majorBidi"/>
      <w:i/>
      <w:iCs/>
      <w:color w:val="E4002B" w:themeColor="accent1"/>
      <w:spacing w:val="15"/>
      <w:sz w:val="24"/>
      <w:szCs w:val="24"/>
    </w:rPr>
  </w:style>
  <w:style w:type="character" w:customStyle="1" w:styleId="UndertitelTegn">
    <w:name w:val="Undertitel Tegn"/>
    <w:aliases w:val="zUndertitel Tegn"/>
    <w:basedOn w:val="Standardskrifttypeiafsnit"/>
    <w:link w:val="Undertitel"/>
    <w:uiPriority w:val="49"/>
    <w:rsid w:val="009B1F0B"/>
    <w:rPr>
      <w:rFonts w:asciiTheme="majorHAnsi" w:eastAsiaTheme="majorEastAsia" w:hAnsiTheme="majorHAnsi" w:cstheme="majorBidi"/>
      <w:i/>
      <w:iCs/>
      <w:color w:val="E4002B" w:themeColor="accent1"/>
      <w:spacing w:val="15"/>
      <w:sz w:val="24"/>
      <w:szCs w:val="24"/>
      <w:lang w:val="da-DK" w:eastAsia="en-US"/>
    </w:rPr>
  </w:style>
  <w:style w:type="paragraph" w:customStyle="1" w:styleId="AfsenderInfo">
    <w:name w:val="Afsender Info"/>
    <w:basedOn w:val="For-ogefternavn"/>
    <w:link w:val="AfsenderInfoTegn"/>
    <w:qFormat/>
    <w:rsid w:val="008410CF"/>
    <w:rPr>
      <w:b w:val="0"/>
      <w:sz w:val="13"/>
    </w:rPr>
  </w:style>
  <w:style w:type="character" w:customStyle="1" w:styleId="AfsenderInfoTegn">
    <w:name w:val="Afsender Info Tegn"/>
    <w:basedOn w:val="For-ogefternavnTegn"/>
    <w:link w:val="AfsenderInfo"/>
    <w:rsid w:val="008B7732"/>
    <w:rPr>
      <w:rFonts w:ascii="Italian Plate No2 Expanded" w:hAnsi="Italian Plate No2 Expanded"/>
      <w:b w:val="0"/>
      <w:sz w:val="13"/>
      <w:szCs w:val="18"/>
      <w:lang w:val="da-DK" w:eastAsia="da-DK"/>
    </w:rPr>
  </w:style>
  <w:style w:type="paragraph" w:styleId="Citat">
    <w:name w:val="Quote"/>
    <w:basedOn w:val="Normal"/>
    <w:next w:val="Normal"/>
    <w:link w:val="CitatTegn"/>
    <w:qFormat/>
    <w:rsid w:val="006343CE"/>
    <w:rPr>
      <w:i/>
      <w:iCs/>
    </w:rPr>
  </w:style>
  <w:style w:type="character" w:customStyle="1" w:styleId="CitatTegn">
    <w:name w:val="Citat Tegn"/>
    <w:basedOn w:val="Standardskrifttypeiafsnit"/>
    <w:link w:val="Citat"/>
    <w:rsid w:val="00FF6699"/>
    <w:rPr>
      <w:i/>
      <w:iCs/>
    </w:rPr>
  </w:style>
  <w:style w:type="paragraph" w:customStyle="1" w:styleId="HyperlinkFiDa">
    <w:name w:val="Hyperlink (FiDa)"/>
    <w:basedOn w:val="Normal"/>
    <w:next w:val="Normal"/>
    <w:link w:val="HyperlinkFiDaTegn"/>
    <w:qFormat/>
    <w:rsid w:val="007E60D9"/>
    <w:rPr>
      <w:b/>
      <w:color w:val="E4002B"/>
      <w:u w:val="single"/>
      <w:lang w:eastAsia="da-DK"/>
    </w:rPr>
  </w:style>
  <w:style w:type="paragraph" w:styleId="Ingenafstand">
    <w:name w:val="No Spacing"/>
    <w:aliases w:val="zIngen afstand"/>
    <w:uiPriority w:val="49"/>
    <w:rsid w:val="00D02997"/>
    <w:pPr>
      <w:tabs>
        <w:tab w:val="left" w:pos="284"/>
      </w:tabs>
    </w:pPr>
    <w:rPr>
      <w:lang w:val="da-DK" w:eastAsia="en-US"/>
    </w:rPr>
  </w:style>
  <w:style w:type="character" w:customStyle="1" w:styleId="HyperlinkFiDaTegn">
    <w:name w:val="Hyperlink (FiDa) Tegn"/>
    <w:basedOn w:val="Standardskrifttypeiafsnit"/>
    <w:link w:val="HyperlinkFiDa"/>
    <w:rsid w:val="007E60D9"/>
    <w:rPr>
      <w:rFonts w:ascii="Century Gothic" w:hAnsi="Century Gothic"/>
      <w:b/>
      <w:color w:val="E4002B"/>
      <w:u w:val="single"/>
      <w:lang w:eastAsia="da-DK"/>
    </w:rPr>
  </w:style>
  <w:style w:type="character" w:styleId="Bogenstitel">
    <w:name w:val="Book Title"/>
    <w:aliases w:val="zBogens titel"/>
    <w:basedOn w:val="Standardskrifttypeiafsnit"/>
    <w:uiPriority w:val="49"/>
    <w:rsid w:val="00D02997"/>
    <w:rPr>
      <w:b/>
      <w:bCs/>
      <w:smallCaps/>
      <w:spacing w:val="5"/>
    </w:rPr>
  </w:style>
  <w:style w:type="character" w:styleId="Kraftighenvisning">
    <w:name w:val="Intense Reference"/>
    <w:aliases w:val="zKraftig henvisning"/>
    <w:basedOn w:val="Standardskrifttypeiafsnit"/>
    <w:uiPriority w:val="49"/>
    <w:rsid w:val="00D02997"/>
    <w:rPr>
      <w:b/>
      <w:bCs/>
      <w:smallCaps/>
      <w:color w:val="76232F" w:themeColor="accent2"/>
      <w:spacing w:val="5"/>
      <w:u w:val="single"/>
    </w:rPr>
  </w:style>
  <w:style w:type="character" w:styleId="Svaghenvisning">
    <w:name w:val="Subtle Reference"/>
    <w:aliases w:val="zSvag henvisning"/>
    <w:basedOn w:val="Standardskrifttypeiafsnit"/>
    <w:uiPriority w:val="49"/>
    <w:rsid w:val="00D02997"/>
    <w:rPr>
      <w:smallCaps/>
      <w:color w:val="76232F" w:themeColor="accent2"/>
      <w:u w:val="single"/>
    </w:rPr>
  </w:style>
  <w:style w:type="paragraph" w:styleId="Strktcitat">
    <w:name w:val="Intense Quote"/>
    <w:aliases w:val="zStærkt citat"/>
    <w:basedOn w:val="Normal"/>
    <w:next w:val="Normal"/>
    <w:link w:val="StrktcitatTegn"/>
    <w:uiPriority w:val="49"/>
    <w:rsid w:val="00D02997"/>
    <w:pPr>
      <w:pBdr>
        <w:bottom w:val="single" w:sz="4" w:space="4" w:color="E4002B" w:themeColor="accent1"/>
      </w:pBdr>
      <w:spacing w:before="200" w:after="280"/>
      <w:ind w:left="936" w:right="936"/>
    </w:pPr>
    <w:rPr>
      <w:b/>
      <w:bCs/>
      <w:i/>
      <w:iCs/>
      <w:color w:val="E4002B" w:themeColor="accent1"/>
    </w:rPr>
  </w:style>
  <w:style w:type="character" w:customStyle="1" w:styleId="StrktcitatTegn">
    <w:name w:val="Stærkt citat Tegn"/>
    <w:aliases w:val="zStærkt citat Tegn"/>
    <w:basedOn w:val="Standardskrifttypeiafsnit"/>
    <w:link w:val="Strktcitat"/>
    <w:uiPriority w:val="49"/>
    <w:rsid w:val="009B1F0B"/>
    <w:rPr>
      <w:rFonts w:ascii="Italian Plate No2 Expanded" w:hAnsi="Italian Plate No2 Expanded"/>
      <w:b/>
      <w:bCs/>
      <w:i/>
      <w:iCs/>
      <w:color w:val="E4002B" w:themeColor="accent1"/>
      <w:sz w:val="18"/>
      <w:szCs w:val="18"/>
      <w:lang w:val="da-DK" w:eastAsia="en-US"/>
    </w:rPr>
  </w:style>
  <w:style w:type="character" w:styleId="Kraftigfremhvning">
    <w:name w:val="Intense Emphasis"/>
    <w:aliases w:val="zKraftig fremhævning"/>
    <w:basedOn w:val="Standardskrifttypeiafsnit"/>
    <w:uiPriority w:val="49"/>
    <w:rsid w:val="00D02997"/>
    <w:rPr>
      <w:b/>
      <w:bCs/>
      <w:i/>
      <w:iCs/>
      <w:color w:val="E4002B" w:themeColor="accent1"/>
    </w:rPr>
  </w:style>
  <w:style w:type="character" w:styleId="Svagfremhvning">
    <w:name w:val="Subtle Emphasis"/>
    <w:aliases w:val="zSvag fremhævning"/>
    <w:basedOn w:val="Standardskrifttypeiafsnit"/>
    <w:uiPriority w:val="49"/>
    <w:rsid w:val="00D02997"/>
    <w:rPr>
      <w:i/>
      <w:iCs/>
      <w:color w:val="808080" w:themeColor="text1" w:themeTint="7F"/>
    </w:rPr>
  </w:style>
  <w:style w:type="paragraph" w:customStyle="1" w:styleId="FiDaNormal">
    <w:name w:val="FiDa Normal"/>
    <w:basedOn w:val="Normal"/>
    <w:link w:val="FiDaNormalTegn"/>
    <w:rsid w:val="00FF6699"/>
    <w:rPr>
      <w:lang w:eastAsia="da-DK"/>
    </w:rPr>
  </w:style>
  <w:style w:type="character" w:customStyle="1" w:styleId="FiDaNormalTegn">
    <w:name w:val="FiDa Normal Tegn"/>
    <w:basedOn w:val="Standardskrifttypeiafsnit"/>
    <w:link w:val="FiDaNormal"/>
    <w:rsid w:val="00FF6699"/>
    <w:rPr>
      <w:lang w:eastAsia="da-DK"/>
    </w:rPr>
  </w:style>
  <w:style w:type="paragraph" w:styleId="Fodnotetekst">
    <w:name w:val="footnote text"/>
    <w:basedOn w:val="Normal"/>
    <w:link w:val="FodnotetekstTegn"/>
    <w:unhideWhenUsed/>
    <w:rsid w:val="00A32C77"/>
    <w:pPr>
      <w:tabs>
        <w:tab w:val="clear" w:pos="284"/>
      </w:tabs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A32C77"/>
    <w:rPr>
      <w:rFonts w:ascii="Century Gothic" w:eastAsiaTheme="minorHAnsi" w:hAnsi="Century Gothic" w:cstheme="minorBidi"/>
      <w:sz w:val="20"/>
      <w:szCs w:val="20"/>
      <w:lang w:val="da-DK" w:eastAsia="en-US"/>
    </w:rPr>
  </w:style>
  <w:style w:type="character" w:styleId="Fodnotehenvisning">
    <w:name w:val="footnote reference"/>
    <w:basedOn w:val="Standardskrifttypeiafsnit"/>
    <w:unhideWhenUsed/>
    <w:rsid w:val="00A32C77"/>
    <w:rPr>
      <w:vertAlign w:val="superscript"/>
    </w:rPr>
  </w:style>
  <w:style w:type="character" w:styleId="Kommentarhenvisning">
    <w:name w:val="annotation reference"/>
    <w:basedOn w:val="Standardskrifttypeiafsnit"/>
    <w:uiPriority w:val="99"/>
    <w:unhideWhenUsed/>
    <w:rsid w:val="00A32C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32C77"/>
    <w:pPr>
      <w:tabs>
        <w:tab w:val="clear" w:pos="284"/>
      </w:tabs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32C77"/>
    <w:rPr>
      <w:rFonts w:ascii="Century Gothic" w:eastAsiaTheme="minorHAnsi" w:hAnsi="Century Gothic" w:cstheme="minorBidi"/>
      <w:sz w:val="20"/>
      <w:szCs w:val="20"/>
      <w:lang w:val="da-DK" w:eastAsia="en-US"/>
    </w:rPr>
  </w:style>
  <w:style w:type="character" w:customStyle="1" w:styleId="temph">
    <w:name w:val="temph"/>
    <w:basedOn w:val="Standardskrifttypeiafsnit"/>
    <w:rsid w:val="00A32C77"/>
  </w:style>
  <w:style w:type="paragraph" w:styleId="Kommentaremne">
    <w:name w:val="annotation subject"/>
    <w:basedOn w:val="Kommentartekst"/>
    <w:next w:val="Kommentartekst"/>
    <w:link w:val="KommentaremneTegn"/>
    <w:uiPriority w:val="49"/>
    <w:rsid w:val="00A32C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49"/>
    <w:rsid w:val="00A32C77"/>
    <w:rPr>
      <w:rFonts w:ascii="Century Gothic" w:eastAsiaTheme="minorHAnsi" w:hAnsi="Century Gothic" w:cstheme="minorBidi"/>
      <w:b/>
      <w:bCs/>
      <w:sz w:val="20"/>
      <w:szCs w:val="20"/>
      <w:lang w:val="da-DK"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32C77"/>
    <w:pPr>
      <w:tabs>
        <w:tab w:val="clear" w:pos="284"/>
      </w:tabs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/>
      <w:bCs/>
      <w:color w:val="AA0020" w:themeColor="accent1" w:themeShade="BF"/>
      <w:sz w:val="28"/>
      <w:szCs w:val="28"/>
      <w:lang w:val="en-US" w:eastAsia="ja-JP"/>
    </w:rPr>
  </w:style>
  <w:style w:type="paragraph" w:styleId="Indholdsfortegnelse1">
    <w:name w:val="toc 1"/>
    <w:basedOn w:val="Normal"/>
    <w:next w:val="Normal"/>
    <w:autoRedefine/>
    <w:uiPriority w:val="39"/>
    <w:rsid w:val="00A32C77"/>
    <w:pPr>
      <w:tabs>
        <w:tab w:val="clear" w:pos="284"/>
      </w:tabs>
      <w:spacing w:after="100"/>
    </w:pPr>
    <w:rPr>
      <w:rFonts w:eastAsiaTheme="minorHAnsi" w:cstheme="minorBidi"/>
      <w:szCs w:val="22"/>
      <w:lang w:eastAsia="en-US"/>
    </w:rPr>
  </w:style>
  <w:style w:type="paragraph" w:styleId="Indholdsfortegnelse3">
    <w:name w:val="toc 3"/>
    <w:basedOn w:val="Normal"/>
    <w:next w:val="Normal"/>
    <w:autoRedefine/>
    <w:uiPriority w:val="39"/>
    <w:rsid w:val="00A32C77"/>
    <w:pPr>
      <w:tabs>
        <w:tab w:val="clear" w:pos="284"/>
      </w:tabs>
      <w:spacing w:after="100"/>
      <w:ind w:left="360"/>
    </w:pPr>
    <w:rPr>
      <w:rFonts w:eastAsiaTheme="minorHAnsi" w:cstheme="minorBidi"/>
      <w:szCs w:val="22"/>
      <w:lang w:eastAsia="en-US"/>
    </w:rPr>
  </w:style>
  <w:style w:type="paragraph" w:styleId="Indholdsfortegnelse2">
    <w:name w:val="toc 2"/>
    <w:basedOn w:val="Normal"/>
    <w:next w:val="Normal"/>
    <w:autoRedefine/>
    <w:uiPriority w:val="39"/>
    <w:rsid w:val="00A32C77"/>
    <w:pPr>
      <w:tabs>
        <w:tab w:val="clear" w:pos="284"/>
      </w:tabs>
      <w:spacing w:after="100"/>
      <w:ind w:left="180"/>
    </w:pPr>
    <w:rPr>
      <w:rFonts w:eastAsiaTheme="minorHAnsi" w:cstheme="minorBidi"/>
      <w:szCs w:val="22"/>
      <w:lang w:eastAsia="en-US"/>
    </w:rPr>
  </w:style>
  <w:style w:type="character" w:customStyle="1" w:styleId="MSGENFONTSTYLENAMETEMPLATEROLEMSGENFONTSTYLENAMEBYROLEFOOTNOTE">
    <w:name w:val="MSG_EN_FONT_STYLE_NAME_TEMPLATE_ROLE MSG_EN_FONT_STYLE_NAME_BY_ROLE_FOOTNOTE_"/>
    <w:basedOn w:val="Standardskrifttypeiafsnit"/>
    <w:link w:val="MSGENFONTSTYLENAMETEMPLATEROLEMSGENFONTSTYLENAMEBYROLEFOOTNOTE0"/>
    <w:rsid w:val="00A32C7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MSGENFONTSTYLENAMEBYROLEFOOTNOTEMSGENFONTSTYLEMODIFERSIZE8">
    <w:name w:val="MSG_EN_FONT_STYLE_NAME_TEMPLATE_ROLE MSG_EN_FONT_STYLE_NAME_BY_ROLE_FOOTNOTE + MSG_EN_FONT_STYLE_MODIFER_SIZE 8"/>
    <w:basedOn w:val="MSGENFONTSTYLENAMETEMPLATEROLEMSGENFONTSTYLENAMEBYROLEFOOTNOTE"/>
    <w:rsid w:val="00A32C7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skrifttypeiafsnit"/>
    <w:rsid w:val="00A32C7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A32C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skrifttypeiafsnit"/>
    <w:link w:val="MSGENFONTSTYLENAMETEMPLATEROLENUMBERMSGENFONTSTYLENAMEBYROLETEXT30"/>
    <w:rsid w:val="00A32C7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skrifttypeiafsnit"/>
    <w:rsid w:val="00A32C7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sid w:val="00A32C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basedOn w:val="MSGENFONTSTYLENAMETEMPLATEROLENUMBERMSGENFONTSTYLENAMEBYROLETEXT3"/>
    <w:rsid w:val="00A32C77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MSGENFONTSTYLENAMETEMPLATEROLENUMBERMSGENFONTSTYLENAMEBYROLETEXT3MSGENFONTSTYLEMODIFERNOTITALIC">
    <w:name w:val="MSG_EN_FONT_STYLE_NAME_TEMPLATE_ROLE_NUMBER MSG_EN_FONT_STYLE_NAME_BY_ROLE_TEXT 3 + MSG_EN_FONT_STYLE_MODIFER_NOT_ITALIC"/>
    <w:basedOn w:val="MSGENFONTSTYLENAMETEMPLATEROLENUMBERMSGENFONTSTYLENAMEBYROLETEXT3"/>
    <w:rsid w:val="00A32C7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skrifttypeiafsnit"/>
    <w:link w:val="MSGENFONTSTYLENAMETEMPLATEROLENUMBERMSGENFONTSTYLENAMEBYROLETEXT40"/>
    <w:rsid w:val="00A32C77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MSGENFONTSTYLENAMETEMPLATEROLENUMBERMSGENFONTSTYLENAMEBYROLETEXT2MSGENFONTSTYLEMODIFERITALICExact">
    <w:name w:val="MSG_EN_FONT_STYLE_NAME_TEMPLATE_ROLE_NUMBER MSG_EN_FONT_STYLE_NAME_BY_ROLE_TEXT 2 + MSG_EN_FONT_STYLE_MODIFER_ITALIC Exact"/>
    <w:basedOn w:val="MSGENFONTSTYLENAMETEMPLATEROLENUMBERMSGENFONTSTYLENAMEBYROLETEXT2"/>
    <w:rsid w:val="00A32C77"/>
    <w:rPr>
      <w:rFonts w:ascii="Arial" w:eastAsia="Arial" w:hAnsi="Arial" w:cs="Arial"/>
      <w:b w:val="0"/>
      <w:bCs w:val="0"/>
      <w:i/>
      <w:iCs/>
      <w:smallCaps w:val="0"/>
      <w:strike w:val="0"/>
      <w:color w:val="7C8588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MSGENFONTSTYLENAMETEMPLATEROLENUMBERMSGENFONTSTYLENAMEBYROLETEXT2"/>
    <w:rsid w:val="00A32C77"/>
    <w:rPr>
      <w:rFonts w:ascii="Arial" w:eastAsia="Arial" w:hAnsi="Arial" w:cs="Arial"/>
      <w:b w:val="0"/>
      <w:bCs w:val="0"/>
      <w:i w:val="0"/>
      <w:iCs w:val="0"/>
      <w:smallCaps w:val="0"/>
      <w:strike w:val="0"/>
      <w:color w:val="7C8588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MSGENFONTSTYLENAMETEMPLATEROLENUMBERMSGENFONTSTYLENAMEBYROLETEXT4"/>
    <w:rsid w:val="00A32C77"/>
    <w:rPr>
      <w:rFonts w:ascii="Arial" w:eastAsia="Arial" w:hAnsi="Arial" w:cs="Arial"/>
      <w:color w:val="7C8588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Standardskrifttypeiafsnit"/>
    <w:link w:val="MSGENFONTSTYLENAMETEMPLATEROLENUMBERMSGENFONTSTYLENAMEBYROLETEXT5"/>
    <w:rsid w:val="00A32C77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MSGENFONTSTYLENAMETEMPLATEROLENUMBERMSGENFONTSTYLENAMEBYROLETEXT6"/>
    <w:rsid w:val="00A32C77"/>
    <w:rPr>
      <w:rFonts w:ascii="Arial" w:eastAsia="Arial" w:hAnsi="Arial" w:cs="Arial"/>
      <w:b w:val="0"/>
      <w:bCs w:val="0"/>
      <w:i w:val="0"/>
      <w:iCs w:val="0"/>
      <w:smallCaps w:val="0"/>
      <w:strike w:val="0"/>
      <w:color w:val="7C8588"/>
      <w:sz w:val="10"/>
      <w:szCs w:val="10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Standardskrifttypeiafsnit"/>
    <w:link w:val="MSGENFONTSTYLENAMETEMPLATEROLENUMBERMSGENFONTSTYLENAMEBYROLETEXT7"/>
    <w:rsid w:val="00A32C77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Standardskrifttypeiafsnit"/>
    <w:link w:val="MSGENFONTSTYLENAMETEMPLATEROLENUMBERMSGENFONTSTYLENAMEBYROLETEXT8"/>
    <w:rsid w:val="00A32C77"/>
    <w:rPr>
      <w:rFonts w:ascii="Arial" w:eastAsia="Arial" w:hAnsi="Arial" w:cs="Arial"/>
      <w:i/>
      <w:iCs/>
      <w:sz w:val="8"/>
      <w:szCs w:val="8"/>
      <w:shd w:val="clear" w:color="auto" w:fill="FFFFFF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Standardskrifttypeiafsnit"/>
    <w:link w:val="MSGENFONTSTYLENAMETEMPLATEROLENUMBERMSGENFONTSTYLENAMEBYROLETEXT9"/>
    <w:rsid w:val="00A32C77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Standardskrifttypeiafsnit"/>
    <w:link w:val="MSGENFONTSTYLENAMETEMPLATEROLENUMBERMSGENFONTSTYLENAMEBYROLETEXT10"/>
    <w:rsid w:val="00A32C7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MSGENFONTSTYLENAMETEMPLATEROLENUMBERMSGENFONTSTYLENAMEBYROLETEXT11Exact">
    <w:name w:val="MSG_EN_FONT_STYLE_NAME_TEMPLATE_ROLE_NUMBER MSG_EN_FONT_STYLE_NAME_BY_ROLE_TEXT 11 Exact"/>
    <w:basedOn w:val="Standardskrifttypeiafsnit"/>
    <w:link w:val="MSGENFONTSTYLENAMETEMPLATEROLENUMBERMSGENFONTSTYLENAMEBYROLETEXT11"/>
    <w:rsid w:val="00A32C77"/>
    <w:rPr>
      <w:rFonts w:ascii="Courier New" w:eastAsia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2MSGENFONTSTYLEMODIFERSIZE65">
    <w:name w:val="MSG_EN_FONT_STYLE_NAME_TEMPLATE_ROLE_NUMBER MSG_EN_FONT_STYLE_NAME_BY_ROLE_TEXT 2 + MSG_EN_FONT_STYLE_MODIFER_SIZE 6.5"/>
    <w:basedOn w:val="MSGENFONTSTYLENAMETEMPLATEROLENUMBERMSGENFONTSTYLENAMEBYROLETEXT2"/>
    <w:rsid w:val="00A32C7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NUMBERMSGENFONTSTYLENAMEBYROLETEXT2MSGENFONTSTYLEMODIFERSIZE4">
    <w:name w:val="MSG_EN_FONT_STYLE_NAME_TEMPLATE_ROLE_NUMBER MSG_EN_FONT_STYLE_NAME_BY_ROLE_TEXT 2 + MSG_EN_FONT_STYLE_MODIFER_SIZE 4"/>
    <w:basedOn w:val="MSGENFONTSTYLENAMETEMPLATEROLENUMBERMSGENFONTSTYLENAMEBYROLETEXT2"/>
    <w:rsid w:val="00A32C77"/>
    <w:rPr>
      <w:rFonts w:ascii="Arial" w:eastAsia="Arial" w:hAnsi="Arial" w:cs="Arial"/>
      <w:b w:val="0"/>
      <w:bCs w:val="0"/>
      <w:i w:val="0"/>
      <w:iCs w:val="0"/>
      <w:smallCaps w:val="0"/>
      <w:strike w:val="0"/>
      <w:color w:val="BFEEF6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NUMBERMSGENFONTSTYLENAMEBYROLETEXT2MSGENFONTSTYLEMODIFERSIZE4MSGENFONTSTYLEMODIFERBOLDMSGENFONTSTYLEMODIFERSCALING20">
    <w:name w:val="MSG_EN_FONT_STYLE_NAME_TEMPLATE_ROLE_NUMBER MSG_EN_FONT_STYLE_NAME_BY_ROLE_TEXT 2 + MSG_EN_FONT_STYLE_MODIFER_SIZE 4;MSG_EN_FONT_STYLE_MODIFER_BOLD;MSG_EN_FONT_STYLE_MODIFER_SCALING 20"/>
    <w:basedOn w:val="MSGENFONTSTYLENAMETEMPLATEROLENUMBERMSGENFONTSTYLENAMEBYROLETEXT2"/>
    <w:rsid w:val="00A32C7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2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NUMBERMSGENFONTSTYLENAMEBYROLETABLECAPTION2Exact">
    <w:name w:val="MSG_EN_FONT_STYLE_NAME_TEMPLATE_ROLE_NUMBER MSG_EN_FONT_STYLE_NAME_BY_ROLE_TABLE_CAPTION 2 Exact"/>
    <w:basedOn w:val="Standardskrifttypeiafsnit"/>
    <w:link w:val="MSGENFONTSTYLENAMETEMPLATEROLENUMBERMSGENFONTSTYLENAMEBYROLETABLECAPTION2"/>
    <w:rsid w:val="00A32C77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MSGENFONTSTYLENAMETEMPLATEROLENUMBERMSGENFONTSTYLENAMEBYROLETABLECAPTION3Exact">
    <w:name w:val="MSG_EN_FONT_STYLE_NAME_TEMPLATE_ROLE_NUMBER MSG_EN_FONT_STYLE_NAME_BY_ROLE_TABLE_CAPTION 3 Exact"/>
    <w:basedOn w:val="Standardskrifttypeiafsnit"/>
    <w:link w:val="MSGENFONTSTYLENAMETEMPLATEROLENUMBERMSGENFONTSTYLENAMEBYROLETABLECAPTION3"/>
    <w:rsid w:val="00A32C77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character" w:customStyle="1" w:styleId="MSGENFONTSTYLENAMETEMPLATEROLENUMBERMSGENFONTSTYLENAMEBYROLETABLECAPTION4Exact">
    <w:name w:val="MSG_EN_FONT_STYLE_NAME_TEMPLATE_ROLE_NUMBER MSG_EN_FONT_STYLE_NAME_BY_ROLE_TABLE_CAPTION 4 Exact"/>
    <w:basedOn w:val="Standardskrifttypeiafsnit"/>
    <w:link w:val="MSGENFONTSTYLENAMETEMPLATEROLENUMBERMSGENFONTSTYLENAMEBYROLETABLECAPTION4"/>
    <w:rsid w:val="00A32C7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Standardskrifttypeiafsnit"/>
    <w:link w:val="MSGENFONTSTYLENAMETEMPLATEROLEMSGENFONTSTYLENAMEBYROLETABLECAPTION"/>
    <w:rsid w:val="00A32C77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skrifttypeiafsnit"/>
    <w:rsid w:val="00A32C7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A32C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skrifttypeiafsnit"/>
    <w:link w:val="MSGENFONTSTYLENAMETEMPLATEROLELEVELMSGENFONTSTYLENAMEBYROLEHEADING10"/>
    <w:rsid w:val="00A32C7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LEVELMSGENFONTSTYLENAMEBYROLEHEADING2MSGENFONTSTYLEMODIFERSIZE75">
    <w:name w:val="MSG_EN_FONT_STYLE_NAME_TEMPLATE_ROLE_LEVEL MSG_EN_FONT_STYLE_NAME_BY_ROLE_HEADING 2 + MSG_EN_FONT_STYLE_MODIFER_SIZE 7.5"/>
    <w:basedOn w:val="MSGENFONTSTYLENAMETEMPLATEROLELEVELMSGENFONTSTYLENAMEBYROLEHEADING2"/>
    <w:rsid w:val="00A32C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A32C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Standardskrifttypeiafsnit"/>
    <w:link w:val="MSGENFONTSTYLENAMETEMPLATEROLENUMBERMSGENFONTSTYLENAMEBYROLETEXT12"/>
    <w:rsid w:val="00A32C7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MSGENFONTSTYLENAMETEMPLATEROLENUMBERMSGENFONTSTYLENAMEBYROLETEXT13Exact">
    <w:name w:val="MSG_EN_FONT_STYLE_NAME_TEMPLATE_ROLE_NUMBER MSG_EN_FONT_STYLE_NAME_BY_ROLE_TEXT 13 Exact"/>
    <w:basedOn w:val="Standardskrifttypeiafsnit"/>
    <w:link w:val="MSGENFONTSTYLENAMETEMPLATEROLENUMBERMSGENFONTSTYLENAMEBYROLETEXT13"/>
    <w:rsid w:val="00A32C77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MSGENFONTSTYLENAMETEMPLATEROLENUMBERMSGENFONTSTYLENAMEBYROLETEXT2MSGENFONTSTYLEMODIFERSIZE55">
    <w:name w:val="MSG_EN_FONT_STYLE_NAME_TEMPLATE_ROLE_NUMBER MSG_EN_FONT_STYLE_NAME_BY_ROLE_TEXT 2 + MSG_EN_FONT_STYLE_MODIFER_SIZE 5.5"/>
    <w:basedOn w:val="MSGENFONTSTYLENAMETEMPLATEROLENUMBERMSGENFONTSTYLENAMEBYROLETEXT2"/>
    <w:rsid w:val="00A32C7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MSGENFONTSTYLENAMETEMPLATEROLENUMBERMSGENFONTSTYLENAMEBYROLETEXT2MSGENFONTSTYLEMODIFERSIZE9MSGENFONTSTYLEMODIFERSCALING10">
    <w:name w:val="MSG_EN_FONT_STYLE_NAME_TEMPLATE_ROLE_NUMBER MSG_EN_FONT_STYLE_NAME_BY_ROLE_TEXT 2 + MSG_EN_FONT_STYLE_MODIFER_SIZE 9;MSG_EN_FONT_STYLE_MODIFER_SCALING 10"/>
    <w:basedOn w:val="MSGENFONTSTYLENAMETEMPLATEROLENUMBERMSGENFONTSTYLENAMEBYROLETEXT2"/>
    <w:rsid w:val="00A32C7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Standardskrifttypeiafsnit"/>
    <w:link w:val="MSGENFONTSTYLENAMETEMPLATEROLENUMBERMSGENFONTSTYLENAMEBYROLETEXT140"/>
    <w:rsid w:val="00A32C77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Standardskrifttypeiafsnit"/>
    <w:rsid w:val="00A32C7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skrifttypeiafsnit"/>
    <w:link w:val="MSGENFONTSTYLENAMETEMPLATEROLEMSGENFONTSTYLENAMEBYROLEPICTURECAPTION0"/>
    <w:rsid w:val="00A32C7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Standardskrifttypeiafsnit"/>
    <w:rsid w:val="00A32C77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MSGENFONTSTYLENAMETEMPLATEROLENUMBERMSGENFONTSTYLENAMEBYROLETEXT150">
    <w:name w:val="MSG_EN_FONT_STYLE_NAME_TEMPLATE_ROLE_NUMBER MSG_EN_FONT_STYLE_NAME_BY_ROLE_TEXT 15"/>
    <w:basedOn w:val="MSGENFONTSTYLENAMETEMPLATEROLENUMBERMSGENFONTSTYLENAMEBYROLETEXT15"/>
    <w:rsid w:val="00A32C77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skrifttypeiafsnit"/>
    <w:rsid w:val="00A32C7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MSGENFONTSTYLENAMETEMPLATEROLENUMBERMSGENFONTSTYLENAMEBYROLETEXT60">
    <w:name w:val="MSG_EN_FONT_STYLE_NAME_TEMPLATE_ROLE_NUMBER MSG_EN_FONT_STYLE_NAME_BY_ROLE_TEXT 6"/>
    <w:basedOn w:val="MSGENFONTSTYLENAMETEMPLATEROLENUMBERMSGENFONTSTYLENAMEBYROLETEXT6"/>
    <w:rsid w:val="00A32C7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MSGENFONTSTYLENAMETEMPLATEROLEMSGENFONTSTYLENAMEBYROLEPICTURECAPTIONMSGENFONTSTYLEMODIFERSIZE8">
    <w:name w:val="MSG_EN_FONT_STYLE_NAME_TEMPLATE_ROLE MSG_EN_FONT_STYLE_NAME_BY_ROLE_PICTURE_CAPTION + MSG_EN_FONT_STYLE_MODIFER_SIZE 8"/>
    <w:basedOn w:val="MSGENFONTSTYLENAMETEMPLATEROLEMSGENFONTSTYLENAMEBYROLEPICTURECAPTION"/>
    <w:rsid w:val="00A32C77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rsid w:val="00A32C77"/>
    <w:pPr>
      <w:widowControl w:val="0"/>
      <w:shd w:val="clear" w:color="auto" w:fill="FFFFFF"/>
      <w:tabs>
        <w:tab w:val="clear" w:pos="284"/>
      </w:tabs>
      <w:spacing w:line="224" w:lineRule="exact"/>
    </w:pPr>
    <w:rPr>
      <w:rFonts w:ascii="Arial" w:eastAsia="Arial" w:hAnsi="Arial" w:cs="Arial"/>
      <w:sz w:val="20"/>
      <w:szCs w:val="20"/>
      <w:lang w:val="pl-PL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A32C77"/>
    <w:pPr>
      <w:widowControl w:val="0"/>
      <w:shd w:val="clear" w:color="auto" w:fill="FFFFFF"/>
      <w:tabs>
        <w:tab w:val="clear" w:pos="284"/>
      </w:tabs>
      <w:spacing w:after="300" w:line="224" w:lineRule="exact"/>
    </w:pPr>
    <w:rPr>
      <w:rFonts w:ascii="Arial" w:eastAsia="Arial" w:hAnsi="Arial" w:cs="Arial"/>
      <w:i/>
      <w:iCs/>
      <w:sz w:val="20"/>
      <w:szCs w:val="20"/>
      <w:lang w:val="pl-PL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A32C77"/>
    <w:pPr>
      <w:widowControl w:val="0"/>
      <w:shd w:val="clear" w:color="auto" w:fill="FFFFFF"/>
      <w:tabs>
        <w:tab w:val="clear" w:pos="284"/>
      </w:tabs>
      <w:spacing w:before="1660" w:line="168" w:lineRule="exact"/>
    </w:pPr>
    <w:rPr>
      <w:rFonts w:ascii="Arial" w:eastAsia="Arial" w:hAnsi="Arial" w:cs="Arial"/>
      <w:sz w:val="15"/>
      <w:szCs w:val="15"/>
      <w:lang w:val="pl-PL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rsid w:val="00A32C77"/>
    <w:pPr>
      <w:widowControl w:val="0"/>
      <w:shd w:val="clear" w:color="auto" w:fill="FFFFFF"/>
      <w:tabs>
        <w:tab w:val="clear" w:pos="284"/>
      </w:tabs>
      <w:spacing w:line="90" w:lineRule="exact"/>
    </w:pPr>
    <w:rPr>
      <w:rFonts w:ascii="Arial" w:eastAsia="Arial" w:hAnsi="Arial" w:cs="Arial"/>
      <w:sz w:val="8"/>
      <w:szCs w:val="8"/>
      <w:lang w:val="pl-PL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Normal"/>
    <w:link w:val="MSGENFONTSTYLENAMETEMPLATEROLENUMBERMSGENFONTSTYLENAMEBYROLETEXT7Exact"/>
    <w:rsid w:val="00A32C77"/>
    <w:pPr>
      <w:widowControl w:val="0"/>
      <w:shd w:val="clear" w:color="auto" w:fill="FFFFFF"/>
      <w:tabs>
        <w:tab w:val="clear" w:pos="284"/>
      </w:tabs>
      <w:spacing w:line="77" w:lineRule="exact"/>
    </w:pPr>
    <w:rPr>
      <w:rFonts w:ascii="Arial" w:eastAsia="Arial" w:hAnsi="Arial" w:cs="Arial"/>
      <w:b/>
      <w:bCs/>
      <w:sz w:val="8"/>
      <w:szCs w:val="8"/>
      <w:lang w:val="pl-PL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Normal"/>
    <w:link w:val="MSGENFONTSTYLENAMETEMPLATEROLENUMBERMSGENFONTSTYLENAMEBYROLETEXT8Exact"/>
    <w:rsid w:val="00A32C77"/>
    <w:pPr>
      <w:widowControl w:val="0"/>
      <w:shd w:val="clear" w:color="auto" w:fill="FFFFFF"/>
      <w:tabs>
        <w:tab w:val="clear" w:pos="284"/>
      </w:tabs>
      <w:spacing w:line="77" w:lineRule="exact"/>
    </w:pPr>
    <w:rPr>
      <w:rFonts w:ascii="Arial" w:eastAsia="Arial" w:hAnsi="Arial" w:cs="Arial"/>
      <w:i/>
      <w:iCs/>
      <w:sz w:val="8"/>
      <w:szCs w:val="8"/>
      <w:lang w:val="pl-PL"/>
    </w:rPr>
  </w:style>
  <w:style w:type="paragraph" w:customStyle="1" w:styleId="MSGENFONTSTYLENAMETEMPLATEROLENUMBERMSGENFONTSTYLENAMEBYROLETEXT9">
    <w:name w:val="MSG_EN_FONT_STYLE_NAME_TEMPLATE_ROLE_NUMBER MSG_EN_FONT_STYLE_NAME_BY_ROLE_TEXT 9"/>
    <w:basedOn w:val="Normal"/>
    <w:link w:val="MSGENFONTSTYLENAMETEMPLATEROLENUMBERMSGENFONTSTYLENAMEBYROLETEXT9Exact"/>
    <w:rsid w:val="00A32C77"/>
    <w:pPr>
      <w:widowControl w:val="0"/>
      <w:shd w:val="clear" w:color="auto" w:fill="FFFFFF"/>
      <w:tabs>
        <w:tab w:val="clear" w:pos="284"/>
      </w:tabs>
      <w:spacing w:line="77" w:lineRule="exact"/>
    </w:pPr>
    <w:rPr>
      <w:rFonts w:ascii="Arial" w:eastAsia="Arial" w:hAnsi="Arial" w:cs="Arial"/>
      <w:sz w:val="11"/>
      <w:szCs w:val="11"/>
      <w:lang w:val="pl-PL"/>
    </w:rPr>
  </w:style>
  <w:style w:type="paragraph" w:customStyle="1" w:styleId="MSGENFONTSTYLENAMETEMPLATEROLENUMBERMSGENFONTSTYLENAMEBYROLETEXT10">
    <w:name w:val="MSG_EN_FONT_STYLE_NAME_TEMPLATE_ROLE_NUMBER MSG_EN_FONT_STYLE_NAME_BY_ROLE_TEXT 10"/>
    <w:basedOn w:val="Normal"/>
    <w:link w:val="MSGENFONTSTYLENAMETEMPLATEROLENUMBERMSGENFONTSTYLENAMEBYROLETEXT10Exact"/>
    <w:rsid w:val="00A32C77"/>
    <w:pPr>
      <w:widowControl w:val="0"/>
      <w:shd w:val="clear" w:color="auto" w:fill="FFFFFF"/>
      <w:tabs>
        <w:tab w:val="clear" w:pos="284"/>
      </w:tabs>
      <w:spacing w:line="146" w:lineRule="exact"/>
    </w:pPr>
    <w:rPr>
      <w:rFonts w:ascii="Arial" w:eastAsia="Arial" w:hAnsi="Arial" w:cs="Arial"/>
      <w:sz w:val="13"/>
      <w:szCs w:val="13"/>
      <w:lang w:val="pl-PL"/>
    </w:rPr>
  </w:style>
  <w:style w:type="paragraph" w:customStyle="1" w:styleId="MSGENFONTSTYLENAMETEMPLATEROLENUMBERMSGENFONTSTYLENAMEBYROLETEXT11">
    <w:name w:val="MSG_EN_FONT_STYLE_NAME_TEMPLATE_ROLE_NUMBER MSG_EN_FONT_STYLE_NAME_BY_ROLE_TEXT 11"/>
    <w:basedOn w:val="Normal"/>
    <w:link w:val="MSGENFONTSTYLENAMETEMPLATEROLENUMBERMSGENFONTSTYLENAMEBYROLETEXT11Exact"/>
    <w:rsid w:val="00A32C77"/>
    <w:pPr>
      <w:widowControl w:val="0"/>
      <w:shd w:val="clear" w:color="auto" w:fill="FFFFFF"/>
      <w:tabs>
        <w:tab w:val="clear" w:pos="284"/>
      </w:tabs>
      <w:spacing w:line="238" w:lineRule="exact"/>
    </w:pPr>
    <w:rPr>
      <w:rFonts w:ascii="Courier New" w:eastAsia="Courier New" w:hAnsi="Courier New" w:cs="Courier New"/>
      <w:b/>
      <w:bCs/>
      <w:sz w:val="21"/>
      <w:szCs w:val="21"/>
      <w:lang w:val="pl-PL"/>
    </w:rPr>
  </w:style>
  <w:style w:type="paragraph" w:customStyle="1" w:styleId="MSGENFONTSTYLENAMETEMPLATEROLENUMBERMSGENFONTSTYLENAMEBYROLETABLECAPTION2">
    <w:name w:val="MSG_EN_FONT_STYLE_NAME_TEMPLATE_ROLE_NUMBER MSG_EN_FONT_STYLE_NAME_BY_ROLE_TABLE_CAPTION 2"/>
    <w:basedOn w:val="Normal"/>
    <w:link w:val="MSGENFONTSTYLENAMETEMPLATEROLENUMBERMSGENFONTSTYLENAMEBYROLETABLECAPTION2Exact"/>
    <w:rsid w:val="00A32C77"/>
    <w:pPr>
      <w:widowControl w:val="0"/>
      <w:shd w:val="clear" w:color="auto" w:fill="FFFFFF"/>
      <w:tabs>
        <w:tab w:val="clear" w:pos="284"/>
      </w:tabs>
      <w:spacing w:line="122" w:lineRule="exact"/>
    </w:pPr>
    <w:rPr>
      <w:rFonts w:ascii="Arial" w:eastAsia="Arial" w:hAnsi="Arial" w:cs="Arial"/>
      <w:sz w:val="11"/>
      <w:szCs w:val="11"/>
      <w:lang w:val="pl-PL"/>
    </w:rPr>
  </w:style>
  <w:style w:type="paragraph" w:customStyle="1" w:styleId="MSGENFONTSTYLENAMETEMPLATEROLENUMBERMSGENFONTSTYLENAMEBYROLETABLECAPTION3">
    <w:name w:val="MSG_EN_FONT_STYLE_NAME_TEMPLATE_ROLE_NUMBER MSG_EN_FONT_STYLE_NAME_BY_ROLE_TABLE_CAPTION 3"/>
    <w:basedOn w:val="Normal"/>
    <w:link w:val="MSGENFONTSTYLENAMETEMPLATEROLENUMBERMSGENFONTSTYLENAMEBYROLETABLECAPTION3Exact"/>
    <w:rsid w:val="00A32C77"/>
    <w:pPr>
      <w:widowControl w:val="0"/>
      <w:shd w:val="clear" w:color="auto" w:fill="FFFFFF"/>
      <w:tabs>
        <w:tab w:val="clear" w:pos="284"/>
      </w:tabs>
      <w:spacing w:line="72" w:lineRule="exact"/>
    </w:pPr>
    <w:rPr>
      <w:rFonts w:ascii="Arial" w:eastAsia="Arial" w:hAnsi="Arial" w:cs="Arial"/>
      <w:b/>
      <w:bCs/>
      <w:sz w:val="8"/>
      <w:szCs w:val="8"/>
      <w:lang w:val="pl-PL"/>
    </w:rPr>
  </w:style>
  <w:style w:type="paragraph" w:customStyle="1" w:styleId="MSGENFONTSTYLENAMETEMPLATEROLENUMBERMSGENFONTSTYLENAMEBYROLETABLECAPTION4">
    <w:name w:val="MSG_EN_FONT_STYLE_NAME_TEMPLATE_ROLE_NUMBER MSG_EN_FONT_STYLE_NAME_BY_ROLE_TABLE_CAPTION 4"/>
    <w:basedOn w:val="Normal"/>
    <w:link w:val="MSGENFONTSTYLENAMETEMPLATEROLENUMBERMSGENFONTSTYLENAMEBYROLETABLECAPTION4Exact"/>
    <w:rsid w:val="00A32C77"/>
    <w:pPr>
      <w:widowControl w:val="0"/>
      <w:shd w:val="clear" w:color="auto" w:fill="FFFFFF"/>
      <w:tabs>
        <w:tab w:val="clear" w:pos="284"/>
      </w:tabs>
      <w:spacing w:line="146" w:lineRule="exact"/>
    </w:pPr>
    <w:rPr>
      <w:rFonts w:ascii="Arial" w:eastAsia="Arial" w:hAnsi="Arial" w:cs="Arial"/>
      <w:sz w:val="13"/>
      <w:szCs w:val="13"/>
      <w:lang w:val="pl-PL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rsid w:val="00A32C77"/>
    <w:pPr>
      <w:widowControl w:val="0"/>
      <w:shd w:val="clear" w:color="auto" w:fill="FFFFFF"/>
      <w:tabs>
        <w:tab w:val="clear" w:pos="284"/>
      </w:tabs>
      <w:spacing w:line="122" w:lineRule="exact"/>
    </w:pPr>
    <w:rPr>
      <w:rFonts w:ascii="Arial" w:eastAsia="Arial" w:hAnsi="Arial" w:cs="Arial"/>
      <w:sz w:val="11"/>
      <w:szCs w:val="11"/>
      <w:lang w:val="pl-PL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A32C77"/>
    <w:pPr>
      <w:widowControl w:val="0"/>
      <w:shd w:val="clear" w:color="auto" w:fill="FFFFFF"/>
      <w:tabs>
        <w:tab w:val="clear" w:pos="284"/>
      </w:tabs>
      <w:spacing w:before="560" w:line="278" w:lineRule="exact"/>
      <w:outlineLvl w:val="0"/>
    </w:pPr>
    <w:rPr>
      <w:rFonts w:ascii="Arial" w:eastAsia="Arial" w:hAnsi="Arial" w:cs="Arial"/>
      <w:b/>
      <w:bCs/>
      <w:sz w:val="19"/>
      <w:szCs w:val="19"/>
      <w:lang w:val="pl-PL"/>
    </w:rPr>
  </w:style>
  <w:style w:type="paragraph" w:customStyle="1" w:styleId="MSGENFONTSTYLENAMETEMPLATEROLENUMBERMSGENFONTSTYLENAMEBYROLETEXT12">
    <w:name w:val="MSG_EN_FONT_STYLE_NAME_TEMPLATE_ROLE_NUMBER MSG_EN_FONT_STYLE_NAME_BY_ROLE_TEXT 12"/>
    <w:basedOn w:val="Normal"/>
    <w:link w:val="MSGENFONTSTYLENAMETEMPLATEROLENUMBERMSGENFONTSTYLENAMEBYROLETEXT12Exact"/>
    <w:rsid w:val="00A32C77"/>
    <w:pPr>
      <w:widowControl w:val="0"/>
      <w:shd w:val="clear" w:color="auto" w:fill="FFFFFF"/>
      <w:tabs>
        <w:tab w:val="clear" w:pos="284"/>
      </w:tabs>
      <w:spacing w:line="178" w:lineRule="exact"/>
    </w:pPr>
    <w:rPr>
      <w:rFonts w:ascii="Arial" w:eastAsia="Arial" w:hAnsi="Arial" w:cs="Arial"/>
      <w:sz w:val="16"/>
      <w:szCs w:val="16"/>
      <w:lang w:val="pl-PL"/>
    </w:rPr>
  </w:style>
  <w:style w:type="paragraph" w:customStyle="1" w:styleId="MSGENFONTSTYLENAMETEMPLATEROLENUMBERMSGENFONTSTYLENAMEBYROLETEXT13">
    <w:name w:val="MSG_EN_FONT_STYLE_NAME_TEMPLATE_ROLE_NUMBER MSG_EN_FONT_STYLE_NAME_BY_ROLE_TEXT 13"/>
    <w:basedOn w:val="Normal"/>
    <w:link w:val="MSGENFONTSTYLENAMETEMPLATEROLENUMBERMSGENFONTSTYLENAMEBYROLETEXT13Exact"/>
    <w:rsid w:val="00A32C77"/>
    <w:pPr>
      <w:widowControl w:val="0"/>
      <w:shd w:val="clear" w:color="auto" w:fill="FFFFFF"/>
      <w:tabs>
        <w:tab w:val="clear" w:pos="284"/>
      </w:tabs>
      <w:spacing w:line="90" w:lineRule="exact"/>
      <w:jc w:val="center"/>
    </w:pPr>
    <w:rPr>
      <w:rFonts w:ascii="Arial" w:eastAsia="Arial" w:hAnsi="Arial" w:cs="Arial"/>
      <w:sz w:val="8"/>
      <w:szCs w:val="8"/>
      <w:lang w:val="pl-PL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rsid w:val="00A32C77"/>
    <w:pPr>
      <w:widowControl w:val="0"/>
      <w:shd w:val="clear" w:color="auto" w:fill="FFFFFF"/>
      <w:tabs>
        <w:tab w:val="clear" w:pos="284"/>
      </w:tabs>
      <w:spacing w:before="300" w:line="283" w:lineRule="exact"/>
    </w:pPr>
    <w:rPr>
      <w:rFonts w:ascii="Arial" w:eastAsia="Arial" w:hAnsi="Arial" w:cs="Arial"/>
      <w:b/>
      <w:bCs/>
      <w:i/>
      <w:iCs/>
      <w:lang w:val="pl-PL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al"/>
    <w:link w:val="MSGENFONTSTYLENAMETEMPLATEROLEMSGENFONTSTYLENAMEBYROLEPICTURECAPTION"/>
    <w:rsid w:val="00A32C77"/>
    <w:pPr>
      <w:widowControl w:val="0"/>
      <w:shd w:val="clear" w:color="auto" w:fill="FFFFFF"/>
      <w:tabs>
        <w:tab w:val="clear" w:pos="284"/>
      </w:tabs>
      <w:spacing w:line="224" w:lineRule="exact"/>
    </w:pPr>
    <w:rPr>
      <w:rFonts w:ascii="Arial" w:eastAsia="Arial" w:hAnsi="Arial" w:cs="Arial"/>
      <w:i/>
      <w:iCs/>
      <w:sz w:val="20"/>
      <w:szCs w:val="20"/>
      <w:lang w:val="pl-PL"/>
    </w:rPr>
  </w:style>
  <w:style w:type="paragraph" w:styleId="Slutnotetekst">
    <w:name w:val="endnote text"/>
    <w:basedOn w:val="Normal"/>
    <w:link w:val="SlutnotetekstTegn"/>
    <w:uiPriority w:val="49"/>
    <w:rsid w:val="00A32C77"/>
    <w:pPr>
      <w:tabs>
        <w:tab w:val="clear" w:pos="284"/>
      </w:tabs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49"/>
    <w:rsid w:val="00A32C77"/>
    <w:rPr>
      <w:rFonts w:ascii="Century Gothic" w:eastAsiaTheme="minorHAnsi" w:hAnsi="Century Gothic" w:cstheme="minorBidi"/>
      <w:sz w:val="20"/>
      <w:szCs w:val="20"/>
      <w:lang w:val="da-DK" w:eastAsia="en-US"/>
    </w:rPr>
  </w:style>
  <w:style w:type="character" w:styleId="Slutnotehenvisning">
    <w:name w:val="endnote reference"/>
    <w:basedOn w:val="Standardskrifttypeiafsnit"/>
    <w:uiPriority w:val="49"/>
    <w:rsid w:val="00A32C77"/>
    <w:rPr>
      <w:vertAlign w:val="superscript"/>
    </w:rPr>
  </w:style>
  <w:style w:type="paragraph" w:styleId="Korrektur">
    <w:name w:val="Revision"/>
    <w:hidden/>
    <w:uiPriority w:val="99"/>
    <w:semiHidden/>
    <w:rsid w:val="00A32C77"/>
    <w:rPr>
      <w:rFonts w:ascii="Century Gothic" w:eastAsiaTheme="minorHAnsi" w:hAnsi="Century Gothic" w:cstheme="minorBidi"/>
      <w:szCs w:val="22"/>
      <w:lang w:val="da-DK" w:eastAsia="en-US"/>
    </w:rPr>
  </w:style>
  <w:style w:type="paragraph" w:styleId="Billedtekst">
    <w:name w:val="caption"/>
    <w:basedOn w:val="Normal"/>
    <w:next w:val="Normal"/>
    <w:uiPriority w:val="50"/>
    <w:semiHidden/>
    <w:unhideWhenUsed/>
    <w:qFormat/>
    <w:rsid w:val="00A32C77"/>
    <w:pPr>
      <w:tabs>
        <w:tab w:val="clear" w:pos="284"/>
      </w:tabs>
      <w:spacing w:after="200" w:line="240" w:lineRule="auto"/>
    </w:pPr>
    <w:rPr>
      <w:rFonts w:eastAsiaTheme="minorHAnsi" w:cstheme="minorBidi"/>
      <w:b/>
      <w:bCs/>
      <w:color w:val="E4002B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fida.dk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Finans Danmark Farvepalette">
      <a:dk1>
        <a:srgbClr val="000000"/>
      </a:dk1>
      <a:lt1>
        <a:srgbClr val="FFFFFF"/>
      </a:lt1>
      <a:dk2>
        <a:srgbClr val="282828"/>
      </a:dk2>
      <a:lt2>
        <a:srgbClr val="F5F5F5"/>
      </a:lt2>
      <a:accent1>
        <a:srgbClr val="E4002B"/>
      </a:accent1>
      <a:accent2>
        <a:srgbClr val="76232F"/>
      </a:accent2>
      <a:accent3>
        <a:srgbClr val="7FA9AE"/>
      </a:accent3>
      <a:accent4>
        <a:srgbClr val="253746"/>
      </a:accent4>
      <a:accent5>
        <a:srgbClr val="708753"/>
      </a:accent5>
      <a:accent6>
        <a:srgbClr val="3F4444"/>
      </a:accent6>
      <a:hlink>
        <a:srgbClr val="E4002B"/>
      </a:hlink>
      <a:folHlink>
        <a:srgbClr val="76232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943991-94d7-4778-a9b3-19e5f2086ea5">
      <Value>2</Value>
    </TaxCatchAll>
    <ob7afa27584f400f95462db069cc28f2 xmlns="24943991-94d7-4778-a9b3-19e5f2086e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#115/24. Fondsadministration, Arbejdsgruppen vedr.</TermName>
          <TermId xmlns="http://schemas.microsoft.com/office/infopath/2007/PartnerControls">36693901-0ec9-457e-8f86-856cdb59abbb</TermId>
        </TermInfo>
      </Terms>
    </ob7afa27584f400f95462db069cc28f2>
    <fd_documentDate xmlns="24943991-94d7-4778-a9b3-19e5f2086ea5">2018-06-20T12:13:03+00:00</fd_documentDate>
    <fd_owner xmlns="24943991-94d7-4778-a9b3-19e5f2086ea5">Nikolaj Pilgaard</fd_owner>
    <_dlc_DocId xmlns="24943991-94d7-4778-a9b3-19e5f2086ea5">FIDA-1568102655-2</_dlc_DocId>
    <_dlc_DocIdUrl xmlns="24943991-94d7-4778-a9b3-19e5f2086ea5">
      <Url>https://fida.sharepoint.com/sites/EX-kontostrukturmodel/_layouts/15/DocIdRedir.aspx?ID=FIDA-1568102655-2</Url>
      <Description>FIDA-1568102655-2</Description>
    </_dlc_DocIdUrl>
    <SharedWithUsers xmlns="24943991-94d7-4778-a9b3-19e5f2086ea5">
      <UserInfo>
        <DisplayName>Helle Søby Thygesen</DisplayName>
        <AccountId>14</AccountId>
        <AccountType/>
      </UserInfo>
      <UserInfo>
        <DisplayName>EX Post Trade, Styregruppen vedr./BMF+FD</DisplayName>
        <AccountId>52</AccountId>
        <AccountType/>
      </UserInfo>
      <UserInfo>
        <DisplayName>Anna Buus Sørensen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63DF08F052542BBEC4B7143196D92" ma:contentTypeVersion="11" ma:contentTypeDescription="Create a new document." ma:contentTypeScope="" ma:versionID="f6c56b38dbd01dd6de3a96d5c951a842">
  <xsd:schema xmlns:xsd="http://www.w3.org/2001/XMLSchema" xmlns:xs="http://www.w3.org/2001/XMLSchema" xmlns:p="http://schemas.microsoft.com/office/2006/metadata/properties" xmlns:ns2="24943991-94d7-4778-a9b3-19e5f2086ea5" xmlns:ns3="a8b3785c-1687-4cfb-bb96-457c34477ce8" targetNamespace="http://schemas.microsoft.com/office/2006/metadata/properties" ma:root="true" ma:fieldsID="6f90891627035056d72679709e4baf20" ns2:_="" ns3:_="">
    <xsd:import namespace="24943991-94d7-4778-a9b3-19e5f2086ea5"/>
    <xsd:import namespace="a8b3785c-1687-4cfb-bb96-457c34477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b7afa27584f400f95462db069cc28f2" minOccurs="0"/>
                <xsd:element ref="ns2:fd_documentDate" minOccurs="0"/>
                <xsd:element ref="ns2:TaxCatchAll" minOccurs="0"/>
                <xsd:element ref="ns2:fd_owne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43991-94d7-4778-a9b3-19e5f2086e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b7afa27584f400f95462db069cc28f2" ma:index="11" nillable="true" ma:taxonomy="true" ma:internalName="ob7afa27584f400f95462db069cc28f2" ma:taxonomyFieldName="fd_journal" ma:displayName="Journal" ma:readOnly="false" ma:default="" ma:fieldId="{8b7afa27-584f-400f-9546-2db069cc28f2}" ma:taxonomyMulti="true" ma:sspId="6f0cbb39-80df-46cc-b4ae-a450fbe8aaff" ma:termSetId="eff4ded4-4221-4ac8-94b2-15177ff2d3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_documentDate" ma:index="12" nillable="true" ma:displayName="Document Date" ma:format="DateOnly" ma:internalName="fd_documentDate">
      <xsd:simpleType>
        <xsd:restriction base="dms:DateTime"/>
      </xsd:simpleType>
    </xsd:element>
    <xsd:element name="TaxCatchAll" ma:index="14" nillable="true" ma:displayName="Taxonomy Catch All Column" ma:hidden="true" ma:list="{52f9ba41-640f-4ed8-9c7b-10da30176c09}" ma:internalName="TaxCatchAll" ma:showField="CatchAllData" ma:web="24943991-94d7-4778-a9b3-19e5f2086e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_owner" ma:index="15" nillable="true" ma:displayName="Owner" ma:internalName="fd_owner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3785c-1687-4cfb-bb96-457c34477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F625-2E31-4E69-AB91-A42FFCF637B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a8b3785c-1687-4cfb-bb96-457c34477ce8"/>
    <ds:schemaRef ds:uri="24943991-94d7-4778-a9b3-19e5f2086e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B7E20A-AF2A-4D5E-9891-41D7C0200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DD8A6-9F56-4CEB-AC0E-23B74B00F2AE}"/>
</file>

<file path=customXml/itemProps4.xml><?xml version="1.0" encoding="utf-8"?>
<ds:datastoreItem xmlns:ds="http://schemas.openxmlformats.org/officeDocument/2006/customXml" ds:itemID="{9951FF13-03DC-4E66-A1C3-D22628F19E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80ADC0-DA65-4E4A-A3A3-F5CE36F7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2756</Words>
  <Characters>16446</Characters>
  <Application>Microsoft Office Word</Application>
  <DocSecurity>0</DocSecurity>
  <Lines>137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Markedspraksis for afvikling af tredjemandshandler via T2S og VP (anvendelse af deroga-tionsreglen) efter 29. oktober 2018</vt:lpstr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Markedspraksis for afvikling af tredjemandshandler via T2S og VP (anvendelse af deroga-tionsreglen) efter 29. oktober 2018</dc:title>
  <dc:subject/>
  <dc:creator/>
  <cp:keywords/>
  <cp:lastModifiedBy/>
  <cp:revision>1</cp:revision>
  <dcterms:created xsi:type="dcterms:W3CDTF">2018-05-28T11:00:00Z</dcterms:created>
  <dcterms:modified xsi:type="dcterms:W3CDTF">2018-09-10T12:08:00Z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0x0101005BA63DF08F052542BBEC4B7143196D92</vt:lpwstr>
  </property>
  <property fmtid="{D5CDD505-2E9C-101B-9397-08002B2CF9AE}" pid="3" name="fd_templateType">
    <vt:lpwstr>1;#Notat|533afefa-7011-41f1-9f83-5fb9748aef37</vt:lpwstr>
  </property>
  <property fmtid="{D5CDD505-2E9C-101B-9397-08002B2CF9AE}" pid="4" name="_dlc_DocIdItemGuid">
    <vt:lpwstr>6c0f6ba1-0b79-4419-9d86-da63141d471d</vt:lpwstr>
  </property>
  <property fmtid="{D5CDD505-2E9C-101B-9397-08002B2CF9AE}" pid="5" name="fd_journal">
    <vt:lpwstr>2;##115/24. Fondsadministration, Arbejdsgruppen vedr.|36693901-0ec9-457e-8f86-856cdb59abbb</vt:lpwstr>
  </property>
</Properties>
</file>