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0F705" w14:textId="3B9991D6" w:rsidR="0026001F" w:rsidRPr="00143968" w:rsidRDefault="00107E8F" w:rsidP="002D3241">
      <w:pPr>
        <w:rPr>
          <w:b/>
          <w:bCs/>
        </w:rPr>
      </w:pPr>
      <w:r w:rsidRPr="00143968">
        <w:rPr>
          <w:b/>
          <w:bCs/>
        </w:rPr>
        <w:t xml:space="preserve">Vores investorstatistik giver det bedste </w:t>
      </w:r>
      <w:r w:rsidR="002D3241" w:rsidRPr="00143968">
        <w:rPr>
          <w:b/>
          <w:bCs/>
        </w:rPr>
        <w:t>overblik over danskernes investeringer</w:t>
      </w:r>
    </w:p>
    <w:p w14:paraId="19832AA0" w14:textId="1F6CFC1F" w:rsidR="00107E8F" w:rsidRDefault="00645D3F" w:rsidP="002D3241">
      <w:r>
        <w:t>Vi har</w:t>
      </w:r>
      <w:r w:rsidRPr="00E22E18">
        <w:t xml:space="preserve"> siden december 2023 udgivet en</w:t>
      </w:r>
      <w:r w:rsidR="00B54023">
        <w:t xml:space="preserve"> kvartalsvis</w:t>
      </w:r>
      <w:r w:rsidRPr="00E22E18">
        <w:t xml:space="preserve"> investorstatistik</w:t>
      </w:r>
      <w:r>
        <w:t xml:space="preserve"> f</w:t>
      </w:r>
      <w:r w:rsidR="00107E8F">
        <w:t xml:space="preserve">or at imødekomme begrænsningerne i de </w:t>
      </w:r>
      <w:r w:rsidR="00107E8F" w:rsidRPr="002D3241">
        <w:t>månedlig</w:t>
      </w:r>
      <w:r w:rsidR="00107E8F">
        <w:t>e</w:t>
      </w:r>
      <w:r w:rsidR="00107E8F" w:rsidRPr="002D3241">
        <w:t xml:space="preserve"> afkast</w:t>
      </w:r>
      <w:r w:rsidR="00107E8F" w:rsidRPr="00E22E18">
        <w:t xml:space="preserve">- og </w:t>
      </w:r>
      <w:r w:rsidR="00107E8F" w:rsidRPr="002D3241">
        <w:t>markedsstatistik</w:t>
      </w:r>
      <w:r w:rsidR="00107E8F" w:rsidRPr="00E22E18">
        <w:t xml:space="preserve">ker. </w:t>
      </w:r>
      <w:r w:rsidR="00107E8F" w:rsidRPr="002D3241">
        <w:t>Det betyder, at man kan følge med i, hvad danskerne investerer i, uanset hvor investeringsfondene er hjemmehørende</w:t>
      </w:r>
      <w:r w:rsidR="00107E8F" w:rsidRPr="00E22E18">
        <w:t>.</w:t>
      </w:r>
    </w:p>
    <w:p w14:paraId="69AA71E5" w14:textId="3C89330D" w:rsidR="00E22E18" w:rsidRDefault="002D3241" w:rsidP="002D3241">
      <w:r w:rsidRPr="002D3241">
        <w:t>Konkurrence og fælles europæisk regulering betyder</w:t>
      </w:r>
      <w:r w:rsidR="00107E8F">
        <w:t xml:space="preserve"> nemlig</w:t>
      </w:r>
      <w:r w:rsidRPr="002D3241">
        <w:t>, at investeringsverdenen bliver stadig mere international</w:t>
      </w:r>
      <w:r w:rsidR="00107E8F">
        <w:t xml:space="preserve"> – og det </w:t>
      </w:r>
      <w:r w:rsidRPr="002D3241">
        <w:t xml:space="preserve">er </w:t>
      </w:r>
      <w:r w:rsidR="00107E8F">
        <w:t xml:space="preserve">kun </w:t>
      </w:r>
      <w:r w:rsidRPr="002D3241">
        <w:t xml:space="preserve">positivt for danske investorer </w:t>
      </w:r>
      <w:r w:rsidR="00107E8F">
        <w:t>at de har</w:t>
      </w:r>
      <w:r w:rsidRPr="002D3241">
        <w:t xml:space="preserve"> et bredt udvalg af produkter at investere i. </w:t>
      </w:r>
    </w:p>
    <w:p w14:paraId="3DFA6DA4" w14:textId="6CFAFD31" w:rsidR="00107E8F" w:rsidRDefault="00107E8F" w:rsidP="00107E8F">
      <w:r w:rsidRPr="00107E8F">
        <w:rPr>
          <w:b/>
          <w:bCs/>
        </w:rPr>
        <w:t>Begrænsningerne</w:t>
      </w:r>
      <w:r w:rsidR="00F574F9">
        <w:rPr>
          <w:b/>
          <w:bCs/>
        </w:rPr>
        <w:t xml:space="preserve"> i afkast- og markedsstatistikken</w:t>
      </w:r>
      <w:r>
        <w:t xml:space="preserve">: </w:t>
      </w:r>
      <w:r w:rsidR="002D3241" w:rsidRPr="002D3241">
        <w:t>Afkaststatistikken viser afkast for danske investeringsfonde, og markedsstatistikken viser udviklingen i formuen i danske investeringsfonde.</w:t>
      </w:r>
      <w:r>
        <w:t xml:space="preserve"> </w:t>
      </w:r>
      <w:r w:rsidR="006872F5">
        <w:t>Men,</w:t>
      </w:r>
      <w:r w:rsidR="002D3241" w:rsidRPr="002D3241">
        <w:t xml:space="preserve"> </w:t>
      </w:r>
      <w:r>
        <w:t xml:space="preserve">for det første </w:t>
      </w:r>
      <w:r w:rsidRPr="00107E8F">
        <w:t xml:space="preserve">dækker </w:t>
      </w:r>
      <w:r w:rsidR="001D7EB8">
        <w:t xml:space="preserve">de to statistikker </w:t>
      </w:r>
      <w:r w:rsidR="00EC7E10">
        <w:t xml:space="preserve">kun </w:t>
      </w:r>
      <w:r w:rsidRPr="002D3241">
        <w:t>Investering Danmarks medlemmer</w:t>
      </w:r>
      <w:r w:rsidRPr="00107E8F">
        <w:t xml:space="preserve">s </w:t>
      </w:r>
      <w:r w:rsidR="002D3241" w:rsidRPr="002D3241">
        <w:rPr>
          <w:i/>
          <w:iCs/>
        </w:rPr>
        <w:t>danske</w:t>
      </w:r>
      <w:r w:rsidR="002D3241" w:rsidRPr="002D3241">
        <w:t xml:space="preserve"> fonde. </w:t>
      </w:r>
      <w:r w:rsidRPr="002D3241">
        <w:t>For det andet viser markedsstatistikken den samlede formue i de danske fonde uden skelen til, om investorerne er danske eller udenlandske. Den er derfor ikke et helt præcist mål for, hvor meget danske investorer har investeret i investeringsfondene.</w:t>
      </w:r>
      <w:r w:rsidR="00A07618">
        <w:t xml:space="preserve"> </w:t>
      </w:r>
      <w:r w:rsidR="002D3241" w:rsidRPr="002D3241">
        <w:t>Investering Danmark</w:t>
      </w:r>
      <w:r w:rsidR="00A07618">
        <w:t>s medlemmer</w:t>
      </w:r>
      <w:r w:rsidR="002D3241" w:rsidRPr="002D3241">
        <w:t xml:space="preserve"> udbyder </w:t>
      </w:r>
      <w:r w:rsidR="00A07618">
        <w:t>dog</w:t>
      </w:r>
      <w:r w:rsidR="002D3241" w:rsidRPr="002D3241">
        <w:t xml:space="preserve"> også deres </w:t>
      </w:r>
      <w:r w:rsidR="002D3241" w:rsidRPr="002D3241">
        <w:rPr>
          <w:i/>
          <w:iCs/>
        </w:rPr>
        <w:t>udenlandske fonde</w:t>
      </w:r>
      <w:r w:rsidR="002D3241" w:rsidRPr="002D3241">
        <w:t xml:space="preserve"> til danske investorer, og de indgår ikke i statistikken. </w:t>
      </w:r>
    </w:p>
    <w:p w14:paraId="6960C549" w14:textId="531DD0E8" w:rsidR="002D3241" w:rsidRPr="002D3241" w:rsidRDefault="00107E8F" w:rsidP="002D3241">
      <w:r>
        <w:rPr>
          <w:b/>
          <w:bCs/>
        </w:rPr>
        <w:t>Det fulde billede</w:t>
      </w:r>
      <w:r w:rsidR="00F574F9">
        <w:rPr>
          <w:b/>
          <w:bCs/>
        </w:rPr>
        <w:t xml:space="preserve"> via investorstatistikken</w:t>
      </w:r>
      <w:r>
        <w:rPr>
          <w:b/>
          <w:bCs/>
        </w:rPr>
        <w:t xml:space="preserve">: </w:t>
      </w:r>
      <w:r>
        <w:t>I</w:t>
      </w:r>
      <w:r w:rsidR="002D3241" w:rsidRPr="002D3241">
        <w:t>nvestorstatistik</w:t>
      </w:r>
      <w:r>
        <w:t xml:space="preserve">ken viser efter hvert kvartal, </w:t>
      </w:r>
      <w:r w:rsidR="002D3241" w:rsidRPr="002D3241">
        <w:t xml:space="preserve">hvor meget danske investorer har investeret i </w:t>
      </w:r>
      <w:r w:rsidRPr="002D3241">
        <w:t xml:space="preserve">Investering Danmark </w:t>
      </w:r>
      <w:r>
        <w:t xml:space="preserve">medlemmernes </w:t>
      </w:r>
      <w:r w:rsidR="004E1885">
        <w:t xml:space="preserve">danske og udenlandske </w:t>
      </w:r>
      <w:r w:rsidR="002D3241" w:rsidRPr="002D3241">
        <w:t xml:space="preserve">investeringsfonde. </w:t>
      </w:r>
      <w:r w:rsidR="0078321E">
        <w:br/>
      </w:r>
      <w:r w:rsidR="002D3241" w:rsidRPr="002D3241">
        <w:t>Statistikken vise</w:t>
      </w:r>
      <w:r>
        <w:t>r</w:t>
      </w:r>
      <w:r w:rsidR="002D3241" w:rsidRPr="002D3241">
        <w:t xml:space="preserve"> udviklingen i fondenes formue opgjort på henholdsvis investeringsområde (fondskategori), investeringsforening og forvaltningsselskab. Den opdeling svarer til opdelingen i markedsstatistikken. Formuetallene vises samlet for danske private og institutionelle investorer, virksomheder m.m.</w:t>
      </w:r>
    </w:p>
    <w:p w14:paraId="5C90CCB7" w14:textId="2A0A19D1" w:rsidR="00F574F9" w:rsidRPr="002D3241" w:rsidRDefault="00F574F9" w:rsidP="002D3241">
      <w:r>
        <w:t>Investorstatistikken</w:t>
      </w:r>
      <w:r w:rsidR="002D3241">
        <w:t xml:space="preserve"> baserer sig ligesom de nuværende afkast- og markedsstatistikker på indberetning fra Investering Danmarks medlemmer, men suppleres med oplysninger fra Danmark Nationalbanks statistikdatabase.</w:t>
      </w:r>
      <w:r w:rsidR="285E6A92">
        <w:t xml:space="preserve"> For at få den rette information om udviklingen i markedsandele blandt fondsudbyderne er </w:t>
      </w:r>
      <w:r w:rsidR="0BF4074E">
        <w:t xml:space="preserve">det </w:t>
      </w:r>
      <w:r w:rsidR="285E6A92">
        <w:t>mest korre</w:t>
      </w:r>
      <w:r w:rsidR="47DAF448">
        <w:t>kt</w:t>
      </w:r>
      <w:r w:rsidR="285E6A92">
        <w:t xml:space="preserve"> at anvende</w:t>
      </w:r>
      <w:r w:rsidR="465A9918">
        <w:t xml:space="preserve"> investorstatistikken</w:t>
      </w:r>
      <w:r w:rsidR="1CDE40B1">
        <w:t xml:space="preserve"> da markedsstatistikken mangler den udenlandske del</w:t>
      </w:r>
      <w:r w:rsidR="465A9918">
        <w:t xml:space="preserve">. </w:t>
      </w:r>
    </w:p>
    <w:p w14:paraId="1D962A9C" w14:textId="77777777" w:rsidR="002D3241" w:rsidRPr="002D3241" w:rsidRDefault="002D3241" w:rsidP="002D3241">
      <w:pPr>
        <w:rPr>
          <w:b/>
          <w:bCs/>
        </w:rPr>
      </w:pPr>
      <w:r w:rsidRPr="002D3241">
        <w:rPr>
          <w:b/>
          <w:bCs/>
        </w:rPr>
        <w:t>Fakta: Hvorfor udenlandske fonde?</w:t>
      </w:r>
    </w:p>
    <w:p w14:paraId="24ED5E77" w14:textId="77777777" w:rsidR="002D3241" w:rsidRPr="002D3241" w:rsidRDefault="002D3241" w:rsidP="002D3241">
      <w:r w:rsidRPr="002D3241">
        <w:t>Investeringsfonde, der sælges til private investorer, er indenfor EU i dag for langt størstedelen reguleret af UCITS-direktivet. Reguleringen omfatter alt fra etablering og igangsættelse af de enkelte fonde til markedsføring og salg. Målet med reguleringen er at gøre investeringsfonde til en beskyttet måde at investere på. Du kan læse om investorbeskyttelsen i investeringsfonde her: </w:t>
      </w:r>
      <w:hyperlink r:id="rId5" w:history="1">
        <w:r w:rsidRPr="002D3241">
          <w:rPr>
            <w:rStyle w:val="Hyperlink"/>
          </w:rPr>
          <w:t>Investorbeskyttelse (finansdanmark.dk)</w:t>
        </w:r>
      </w:hyperlink>
    </w:p>
    <w:p w14:paraId="414DD31F" w14:textId="77777777" w:rsidR="002D3241" w:rsidRPr="002D3241" w:rsidRDefault="002D3241" w:rsidP="002D3241">
      <w:r w:rsidRPr="002D3241">
        <w:t xml:space="preserve">Et eksempel herpå er, at alle fonde, der sælges til private investorer, skal udarbejde et </w:t>
      </w:r>
      <w:proofErr w:type="spellStart"/>
      <w:r w:rsidRPr="002D3241">
        <w:t>faktaark</w:t>
      </w:r>
      <w:proofErr w:type="spellEnd"/>
      <w:r w:rsidRPr="002D3241">
        <w:t xml:space="preserve"> på tre sider om fondene kaldet ”Central Information”. Informationerne i </w:t>
      </w:r>
      <w:proofErr w:type="spellStart"/>
      <w:r w:rsidRPr="002D3241">
        <w:t>faktaarket</w:t>
      </w:r>
      <w:proofErr w:type="spellEnd"/>
      <w:r w:rsidRPr="002D3241">
        <w:t xml:space="preserve"> opgøres </w:t>
      </w:r>
      <w:r w:rsidRPr="002D3241">
        <w:lastRenderedPageBreak/>
        <w:t>efter de samme regler over hele EU, og de skal være tilgængelig for investorerne, uanset hvor fondene sælges.</w:t>
      </w:r>
    </w:p>
    <w:p w14:paraId="61A92892" w14:textId="77777777" w:rsidR="002D3241" w:rsidRPr="002D3241" w:rsidRDefault="002D3241" w:rsidP="002D3241">
      <w:r w:rsidRPr="002D3241">
        <w:t>Opfylder en fond kravene i UCITS-direktivet, kan den tilbydes investorer inden for hele EU. Det lokale tilsyn skal dog modtage en anmeldelse om, at der påbegyndes markedsføring inden for tilsynets ansvarsområde.</w:t>
      </w:r>
    </w:p>
    <w:p w14:paraId="58A4368C" w14:textId="03C285CE" w:rsidR="004B2442" w:rsidRDefault="002D3241">
      <w:r w:rsidRPr="002D3241">
        <w:t>Dette ”indre marked” for investeringsfonde gør, at udbydere af investeringsfonde får mulighed for at samle deres administration af fondene i større enheder, der kan opnå stordriftsfordele, og dermed også lavere omkostninger for investorerne. Reguleringen har også naturligt ført til, at administrationen af fondene i stigende grad er blevet samlet i ”Centres of Excellence”, hvor der sker en opbygning af kompetencer og viden. Valget af, hvor en fond etableres, afhænger derfor blandt andet af, på hvilke markeder investeringsfondene skal distribueres.</w:t>
      </w:r>
    </w:p>
    <w:sectPr w:rsidR="004B244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069E7"/>
    <w:multiLevelType w:val="multilevel"/>
    <w:tmpl w:val="00B68A4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1079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DB1"/>
    <w:rsid w:val="000736C5"/>
    <w:rsid w:val="000933CB"/>
    <w:rsid w:val="00107E8F"/>
    <w:rsid w:val="00143968"/>
    <w:rsid w:val="001C0E4E"/>
    <w:rsid w:val="001C3C79"/>
    <w:rsid w:val="001D7EB8"/>
    <w:rsid w:val="001F7699"/>
    <w:rsid w:val="0026001F"/>
    <w:rsid w:val="002D3241"/>
    <w:rsid w:val="003421DA"/>
    <w:rsid w:val="00375B8C"/>
    <w:rsid w:val="0045618D"/>
    <w:rsid w:val="00492238"/>
    <w:rsid w:val="004B2442"/>
    <w:rsid w:val="004E1885"/>
    <w:rsid w:val="004F1DDE"/>
    <w:rsid w:val="00594985"/>
    <w:rsid w:val="005E3924"/>
    <w:rsid w:val="005F5140"/>
    <w:rsid w:val="0061670F"/>
    <w:rsid w:val="00645D3F"/>
    <w:rsid w:val="006640ED"/>
    <w:rsid w:val="006872F5"/>
    <w:rsid w:val="006A6148"/>
    <w:rsid w:val="006A6661"/>
    <w:rsid w:val="00731682"/>
    <w:rsid w:val="0078321E"/>
    <w:rsid w:val="00795B1C"/>
    <w:rsid w:val="007D7DB1"/>
    <w:rsid w:val="008D2525"/>
    <w:rsid w:val="009416AB"/>
    <w:rsid w:val="00962F8D"/>
    <w:rsid w:val="009B1AD6"/>
    <w:rsid w:val="009B570F"/>
    <w:rsid w:val="009F4770"/>
    <w:rsid w:val="00A052F6"/>
    <w:rsid w:val="00A0632C"/>
    <w:rsid w:val="00A07618"/>
    <w:rsid w:val="00A95944"/>
    <w:rsid w:val="00B54023"/>
    <w:rsid w:val="00B80AA9"/>
    <w:rsid w:val="00B97810"/>
    <w:rsid w:val="00C005FE"/>
    <w:rsid w:val="00C86935"/>
    <w:rsid w:val="00CC0BF7"/>
    <w:rsid w:val="00E12E20"/>
    <w:rsid w:val="00E22E18"/>
    <w:rsid w:val="00E61A45"/>
    <w:rsid w:val="00EC7E10"/>
    <w:rsid w:val="00EE2A80"/>
    <w:rsid w:val="00F5311B"/>
    <w:rsid w:val="00F54A99"/>
    <w:rsid w:val="00F574F9"/>
    <w:rsid w:val="00F94884"/>
    <w:rsid w:val="0A6CEDB4"/>
    <w:rsid w:val="0BF4074E"/>
    <w:rsid w:val="1CDE40B1"/>
    <w:rsid w:val="285E6A92"/>
    <w:rsid w:val="465A9918"/>
    <w:rsid w:val="47DAF448"/>
    <w:rsid w:val="71B1F06D"/>
    <w:rsid w:val="73A1806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53820"/>
  <w15:chartTrackingRefBased/>
  <w15:docId w15:val="{BAE41E33-108E-4A09-B1CB-FFC9B94B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D7D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D7D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7D7DB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D7DB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D7DB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D7DB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D7DB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D7DB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D7DB1"/>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D7DB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D7DB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D7DB1"/>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D7DB1"/>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D7DB1"/>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D7DB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D7DB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D7DB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D7DB1"/>
    <w:rPr>
      <w:rFonts w:eastAsiaTheme="majorEastAsia" w:cstheme="majorBidi"/>
      <w:color w:val="272727" w:themeColor="text1" w:themeTint="D8"/>
    </w:rPr>
  </w:style>
  <w:style w:type="paragraph" w:styleId="Titel">
    <w:name w:val="Title"/>
    <w:basedOn w:val="Normal"/>
    <w:next w:val="Normal"/>
    <w:link w:val="TitelTegn"/>
    <w:uiPriority w:val="10"/>
    <w:qFormat/>
    <w:rsid w:val="007D7D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D7DB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D7DB1"/>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D7DB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D7DB1"/>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7D7DB1"/>
    <w:rPr>
      <w:i/>
      <w:iCs/>
      <w:color w:val="404040" w:themeColor="text1" w:themeTint="BF"/>
    </w:rPr>
  </w:style>
  <w:style w:type="paragraph" w:styleId="Listeafsnit">
    <w:name w:val="List Paragraph"/>
    <w:basedOn w:val="Normal"/>
    <w:uiPriority w:val="34"/>
    <w:qFormat/>
    <w:rsid w:val="007D7DB1"/>
    <w:pPr>
      <w:ind w:left="720"/>
      <w:contextualSpacing/>
    </w:pPr>
  </w:style>
  <w:style w:type="character" w:styleId="Kraftigfremhvning">
    <w:name w:val="Intense Emphasis"/>
    <w:basedOn w:val="Standardskrifttypeiafsnit"/>
    <w:uiPriority w:val="21"/>
    <w:qFormat/>
    <w:rsid w:val="007D7DB1"/>
    <w:rPr>
      <w:i/>
      <w:iCs/>
      <w:color w:val="0F4761" w:themeColor="accent1" w:themeShade="BF"/>
    </w:rPr>
  </w:style>
  <w:style w:type="paragraph" w:styleId="Strktcitat">
    <w:name w:val="Intense Quote"/>
    <w:basedOn w:val="Normal"/>
    <w:next w:val="Normal"/>
    <w:link w:val="StrktcitatTegn"/>
    <w:uiPriority w:val="30"/>
    <w:qFormat/>
    <w:rsid w:val="007D7D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D7DB1"/>
    <w:rPr>
      <w:i/>
      <w:iCs/>
      <w:color w:val="0F4761" w:themeColor="accent1" w:themeShade="BF"/>
    </w:rPr>
  </w:style>
  <w:style w:type="character" w:styleId="Kraftighenvisning">
    <w:name w:val="Intense Reference"/>
    <w:basedOn w:val="Standardskrifttypeiafsnit"/>
    <w:uiPriority w:val="32"/>
    <w:qFormat/>
    <w:rsid w:val="007D7DB1"/>
    <w:rPr>
      <w:b/>
      <w:bCs/>
      <w:smallCaps/>
      <w:color w:val="0F4761" w:themeColor="accent1" w:themeShade="BF"/>
      <w:spacing w:val="5"/>
    </w:rPr>
  </w:style>
  <w:style w:type="character" w:styleId="Hyperlink">
    <w:name w:val="Hyperlink"/>
    <w:basedOn w:val="Standardskrifttypeiafsnit"/>
    <w:uiPriority w:val="99"/>
    <w:unhideWhenUsed/>
    <w:rsid w:val="004B2442"/>
    <w:rPr>
      <w:color w:val="467886" w:themeColor="hyperlink"/>
      <w:u w:val="single"/>
    </w:rPr>
  </w:style>
  <w:style w:type="character" w:styleId="Ulstomtale">
    <w:name w:val="Unresolved Mention"/>
    <w:basedOn w:val="Standardskrifttypeiafsnit"/>
    <w:uiPriority w:val="99"/>
    <w:semiHidden/>
    <w:unhideWhenUsed/>
    <w:rsid w:val="004B2442"/>
    <w:rPr>
      <w:color w:val="605E5C"/>
      <w:shd w:val="clear" w:color="auto" w:fill="E1DFDD"/>
    </w:rPr>
  </w:style>
  <w:style w:type="paragraph" w:styleId="Korrektur">
    <w:name w:val="Revision"/>
    <w:hidden/>
    <w:uiPriority w:val="99"/>
    <w:semiHidden/>
    <w:rsid w:val="007316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89430">
      <w:bodyDiv w:val="1"/>
      <w:marLeft w:val="0"/>
      <w:marRight w:val="0"/>
      <w:marTop w:val="0"/>
      <w:marBottom w:val="0"/>
      <w:divBdr>
        <w:top w:val="none" w:sz="0" w:space="0" w:color="auto"/>
        <w:left w:val="none" w:sz="0" w:space="0" w:color="auto"/>
        <w:bottom w:val="none" w:sz="0" w:space="0" w:color="auto"/>
        <w:right w:val="none" w:sz="0" w:space="0" w:color="auto"/>
      </w:divBdr>
      <w:divsChild>
        <w:div w:id="1328551958">
          <w:marLeft w:val="0"/>
          <w:marRight w:val="0"/>
          <w:marTop w:val="0"/>
          <w:marBottom w:val="0"/>
          <w:divBdr>
            <w:top w:val="none" w:sz="0" w:space="0" w:color="auto"/>
            <w:left w:val="none" w:sz="0" w:space="0" w:color="auto"/>
            <w:bottom w:val="none" w:sz="0" w:space="0" w:color="auto"/>
            <w:right w:val="none" w:sz="0" w:space="0" w:color="auto"/>
          </w:divBdr>
        </w:div>
      </w:divsChild>
    </w:div>
    <w:div w:id="245379808">
      <w:bodyDiv w:val="1"/>
      <w:marLeft w:val="0"/>
      <w:marRight w:val="0"/>
      <w:marTop w:val="0"/>
      <w:marBottom w:val="0"/>
      <w:divBdr>
        <w:top w:val="none" w:sz="0" w:space="0" w:color="auto"/>
        <w:left w:val="none" w:sz="0" w:space="0" w:color="auto"/>
        <w:bottom w:val="none" w:sz="0" w:space="0" w:color="auto"/>
        <w:right w:val="none" w:sz="0" w:space="0" w:color="auto"/>
      </w:divBdr>
      <w:divsChild>
        <w:div w:id="1963459921">
          <w:marLeft w:val="0"/>
          <w:marRight w:val="0"/>
          <w:marTop w:val="0"/>
          <w:marBottom w:val="0"/>
          <w:divBdr>
            <w:top w:val="none" w:sz="0" w:space="0" w:color="auto"/>
            <w:left w:val="none" w:sz="0" w:space="0" w:color="auto"/>
            <w:bottom w:val="none" w:sz="0" w:space="0" w:color="auto"/>
            <w:right w:val="none" w:sz="0" w:space="0" w:color="auto"/>
          </w:divBdr>
        </w:div>
      </w:divsChild>
    </w:div>
    <w:div w:id="291519216">
      <w:bodyDiv w:val="1"/>
      <w:marLeft w:val="0"/>
      <w:marRight w:val="0"/>
      <w:marTop w:val="0"/>
      <w:marBottom w:val="0"/>
      <w:divBdr>
        <w:top w:val="none" w:sz="0" w:space="0" w:color="auto"/>
        <w:left w:val="none" w:sz="0" w:space="0" w:color="auto"/>
        <w:bottom w:val="none" w:sz="0" w:space="0" w:color="auto"/>
        <w:right w:val="none" w:sz="0" w:space="0" w:color="auto"/>
      </w:divBdr>
      <w:divsChild>
        <w:div w:id="1969773705">
          <w:marLeft w:val="0"/>
          <w:marRight w:val="0"/>
          <w:marTop w:val="0"/>
          <w:marBottom w:val="0"/>
          <w:divBdr>
            <w:top w:val="none" w:sz="0" w:space="0" w:color="auto"/>
            <w:left w:val="none" w:sz="0" w:space="0" w:color="auto"/>
            <w:bottom w:val="none" w:sz="0" w:space="0" w:color="auto"/>
            <w:right w:val="none" w:sz="0" w:space="0" w:color="auto"/>
          </w:divBdr>
        </w:div>
      </w:divsChild>
    </w:div>
    <w:div w:id="859200651">
      <w:bodyDiv w:val="1"/>
      <w:marLeft w:val="0"/>
      <w:marRight w:val="0"/>
      <w:marTop w:val="0"/>
      <w:marBottom w:val="0"/>
      <w:divBdr>
        <w:top w:val="none" w:sz="0" w:space="0" w:color="auto"/>
        <w:left w:val="none" w:sz="0" w:space="0" w:color="auto"/>
        <w:bottom w:val="none" w:sz="0" w:space="0" w:color="auto"/>
        <w:right w:val="none" w:sz="0" w:space="0" w:color="auto"/>
      </w:divBdr>
    </w:div>
    <w:div w:id="929579710">
      <w:bodyDiv w:val="1"/>
      <w:marLeft w:val="0"/>
      <w:marRight w:val="0"/>
      <w:marTop w:val="0"/>
      <w:marBottom w:val="0"/>
      <w:divBdr>
        <w:top w:val="none" w:sz="0" w:space="0" w:color="auto"/>
        <w:left w:val="none" w:sz="0" w:space="0" w:color="auto"/>
        <w:bottom w:val="none" w:sz="0" w:space="0" w:color="auto"/>
        <w:right w:val="none" w:sz="0" w:space="0" w:color="auto"/>
      </w:divBdr>
      <w:divsChild>
        <w:div w:id="691997900">
          <w:marLeft w:val="0"/>
          <w:marRight w:val="0"/>
          <w:marTop w:val="100"/>
          <w:marBottom w:val="100"/>
          <w:divBdr>
            <w:top w:val="none" w:sz="0" w:space="0" w:color="auto"/>
            <w:left w:val="none" w:sz="0" w:space="0" w:color="auto"/>
            <w:bottom w:val="none" w:sz="0" w:space="0" w:color="auto"/>
            <w:right w:val="none" w:sz="0" w:space="0" w:color="auto"/>
          </w:divBdr>
          <w:divsChild>
            <w:div w:id="898900033">
              <w:marLeft w:val="0"/>
              <w:marRight w:val="0"/>
              <w:marTop w:val="0"/>
              <w:marBottom w:val="0"/>
              <w:divBdr>
                <w:top w:val="none" w:sz="0" w:space="0" w:color="auto"/>
                <w:left w:val="none" w:sz="0" w:space="0" w:color="auto"/>
                <w:bottom w:val="none" w:sz="0" w:space="0" w:color="auto"/>
                <w:right w:val="none" w:sz="0" w:space="0" w:color="auto"/>
              </w:divBdr>
              <w:divsChild>
                <w:div w:id="1651784306">
                  <w:marLeft w:val="0"/>
                  <w:marRight w:val="0"/>
                  <w:marTop w:val="0"/>
                  <w:marBottom w:val="0"/>
                  <w:divBdr>
                    <w:top w:val="none" w:sz="0" w:space="0" w:color="auto"/>
                    <w:left w:val="none" w:sz="0" w:space="0" w:color="auto"/>
                    <w:bottom w:val="none" w:sz="0" w:space="0" w:color="auto"/>
                    <w:right w:val="none" w:sz="0" w:space="0" w:color="auto"/>
                  </w:divBdr>
                </w:div>
              </w:divsChild>
            </w:div>
            <w:div w:id="1887252781">
              <w:marLeft w:val="0"/>
              <w:marRight w:val="0"/>
              <w:marTop w:val="0"/>
              <w:marBottom w:val="375"/>
              <w:divBdr>
                <w:top w:val="none" w:sz="0" w:space="0" w:color="auto"/>
                <w:left w:val="none" w:sz="0" w:space="0" w:color="auto"/>
                <w:bottom w:val="none" w:sz="0" w:space="0" w:color="auto"/>
                <w:right w:val="none" w:sz="0" w:space="0" w:color="auto"/>
              </w:divBdr>
            </w:div>
          </w:divsChild>
        </w:div>
        <w:div w:id="1222909218">
          <w:marLeft w:val="0"/>
          <w:marRight w:val="0"/>
          <w:marTop w:val="0"/>
          <w:marBottom w:val="0"/>
          <w:divBdr>
            <w:top w:val="none" w:sz="0" w:space="0" w:color="auto"/>
            <w:left w:val="none" w:sz="0" w:space="0" w:color="auto"/>
            <w:bottom w:val="none" w:sz="0" w:space="0" w:color="auto"/>
            <w:right w:val="none" w:sz="0" w:space="0" w:color="auto"/>
          </w:divBdr>
          <w:divsChild>
            <w:div w:id="272834174">
              <w:marLeft w:val="0"/>
              <w:marRight w:val="0"/>
              <w:marTop w:val="0"/>
              <w:marBottom w:val="0"/>
              <w:divBdr>
                <w:top w:val="none" w:sz="0" w:space="0" w:color="auto"/>
                <w:left w:val="none" w:sz="0" w:space="0" w:color="auto"/>
                <w:bottom w:val="none" w:sz="0" w:space="0" w:color="auto"/>
                <w:right w:val="none" w:sz="0" w:space="0" w:color="auto"/>
              </w:divBdr>
              <w:divsChild>
                <w:div w:id="2058162398">
                  <w:marLeft w:val="0"/>
                  <w:marRight w:val="0"/>
                  <w:marTop w:val="0"/>
                  <w:marBottom w:val="0"/>
                  <w:divBdr>
                    <w:top w:val="none" w:sz="0" w:space="0" w:color="auto"/>
                    <w:left w:val="none" w:sz="0" w:space="0" w:color="auto"/>
                    <w:bottom w:val="none" w:sz="0" w:space="0" w:color="auto"/>
                    <w:right w:val="none" w:sz="0" w:space="0" w:color="auto"/>
                  </w:divBdr>
                  <w:divsChild>
                    <w:div w:id="2040425526">
                      <w:marLeft w:val="0"/>
                      <w:marRight w:val="0"/>
                      <w:marTop w:val="0"/>
                      <w:marBottom w:val="225"/>
                      <w:divBdr>
                        <w:top w:val="none" w:sz="0" w:space="0" w:color="auto"/>
                        <w:left w:val="none" w:sz="0" w:space="0" w:color="auto"/>
                        <w:bottom w:val="none" w:sz="0" w:space="0" w:color="auto"/>
                        <w:right w:val="none" w:sz="0" w:space="0" w:color="auto"/>
                      </w:divBdr>
                      <w:divsChild>
                        <w:div w:id="1422071572">
                          <w:marLeft w:val="0"/>
                          <w:marRight w:val="0"/>
                          <w:marTop w:val="0"/>
                          <w:marBottom w:val="0"/>
                          <w:divBdr>
                            <w:top w:val="none" w:sz="0" w:space="0" w:color="auto"/>
                            <w:left w:val="none" w:sz="0" w:space="0" w:color="auto"/>
                            <w:bottom w:val="none" w:sz="0" w:space="0" w:color="auto"/>
                            <w:right w:val="none" w:sz="0" w:space="0" w:color="auto"/>
                          </w:divBdr>
                          <w:divsChild>
                            <w:div w:id="125739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7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884564">
      <w:bodyDiv w:val="1"/>
      <w:marLeft w:val="0"/>
      <w:marRight w:val="0"/>
      <w:marTop w:val="0"/>
      <w:marBottom w:val="0"/>
      <w:divBdr>
        <w:top w:val="none" w:sz="0" w:space="0" w:color="auto"/>
        <w:left w:val="none" w:sz="0" w:space="0" w:color="auto"/>
        <w:bottom w:val="none" w:sz="0" w:space="0" w:color="auto"/>
        <w:right w:val="none" w:sz="0" w:space="0" w:color="auto"/>
      </w:divBdr>
      <w:divsChild>
        <w:div w:id="1657221843">
          <w:marLeft w:val="0"/>
          <w:marRight w:val="0"/>
          <w:marTop w:val="0"/>
          <w:marBottom w:val="0"/>
          <w:divBdr>
            <w:top w:val="none" w:sz="0" w:space="0" w:color="auto"/>
            <w:left w:val="none" w:sz="0" w:space="0" w:color="auto"/>
            <w:bottom w:val="none" w:sz="0" w:space="0" w:color="auto"/>
            <w:right w:val="none" w:sz="0" w:space="0" w:color="auto"/>
          </w:divBdr>
        </w:div>
      </w:divsChild>
    </w:div>
    <w:div w:id="1997759126">
      <w:bodyDiv w:val="1"/>
      <w:marLeft w:val="0"/>
      <w:marRight w:val="0"/>
      <w:marTop w:val="0"/>
      <w:marBottom w:val="0"/>
      <w:divBdr>
        <w:top w:val="none" w:sz="0" w:space="0" w:color="auto"/>
        <w:left w:val="none" w:sz="0" w:space="0" w:color="auto"/>
        <w:bottom w:val="none" w:sz="0" w:space="0" w:color="auto"/>
        <w:right w:val="none" w:sz="0" w:space="0" w:color="auto"/>
      </w:divBdr>
    </w:div>
    <w:div w:id="2070423467">
      <w:bodyDiv w:val="1"/>
      <w:marLeft w:val="0"/>
      <w:marRight w:val="0"/>
      <w:marTop w:val="0"/>
      <w:marBottom w:val="0"/>
      <w:divBdr>
        <w:top w:val="none" w:sz="0" w:space="0" w:color="auto"/>
        <w:left w:val="none" w:sz="0" w:space="0" w:color="auto"/>
        <w:bottom w:val="none" w:sz="0" w:space="0" w:color="auto"/>
        <w:right w:val="none" w:sz="0" w:space="0" w:color="auto"/>
      </w:divBdr>
      <w:divsChild>
        <w:div w:id="1067456419">
          <w:marLeft w:val="0"/>
          <w:marRight w:val="0"/>
          <w:marTop w:val="100"/>
          <w:marBottom w:val="100"/>
          <w:divBdr>
            <w:top w:val="none" w:sz="0" w:space="0" w:color="auto"/>
            <w:left w:val="none" w:sz="0" w:space="0" w:color="auto"/>
            <w:bottom w:val="none" w:sz="0" w:space="0" w:color="auto"/>
            <w:right w:val="none" w:sz="0" w:space="0" w:color="auto"/>
          </w:divBdr>
          <w:divsChild>
            <w:div w:id="20665752">
              <w:marLeft w:val="0"/>
              <w:marRight w:val="0"/>
              <w:marTop w:val="0"/>
              <w:marBottom w:val="375"/>
              <w:divBdr>
                <w:top w:val="none" w:sz="0" w:space="0" w:color="auto"/>
                <w:left w:val="none" w:sz="0" w:space="0" w:color="auto"/>
                <w:bottom w:val="none" w:sz="0" w:space="0" w:color="auto"/>
                <w:right w:val="none" w:sz="0" w:space="0" w:color="auto"/>
              </w:divBdr>
            </w:div>
            <w:div w:id="424497958">
              <w:marLeft w:val="0"/>
              <w:marRight w:val="0"/>
              <w:marTop w:val="0"/>
              <w:marBottom w:val="0"/>
              <w:divBdr>
                <w:top w:val="none" w:sz="0" w:space="0" w:color="auto"/>
                <w:left w:val="none" w:sz="0" w:space="0" w:color="auto"/>
                <w:bottom w:val="none" w:sz="0" w:space="0" w:color="auto"/>
                <w:right w:val="none" w:sz="0" w:space="0" w:color="auto"/>
              </w:divBdr>
              <w:divsChild>
                <w:div w:id="138020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6050">
          <w:marLeft w:val="0"/>
          <w:marRight w:val="0"/>
          <w:marTop w:val="0"/>
          <w:marBottom w:val="0"/>
          <w:divBdr>
            <w:top w:val="none" w:sz="0" w:space="0" w:color="auto"/>
            <w:left w:val="none" w:sz="0" w:space="0" w:color="auto"/>
            <w:bottom w:val="none" w:sz="0" w:space="0" w:color="auto"/>
            <w:right w:val="none" w:sz="0" w:space="0" w:color="auto"/>
          </w:divBdr>
          <w:divsChild>
            <w:div w:id="525102344">
              <w:marLeft w:val="0"/>
              <w:marRight w:val="0"/>
              <w:marTop w:val="0"/>
              <w:marBottom w:val="0"/>
              <w:divBdr>
                <w:top w:val="none" w:sz="0" w:space="0" w:color="auto"/>
                <w:left w:val="none" w:sz="0" w:space="0" w:color="auto"/>
                <w:bottom w:val="none" w:sz="0" w:space="0" w:color="auto"/>
                <w:right w:val="none" w:sz="0" w:space="0" w:color="auto"/>
              </w:divBdr>
              <w:divsChild>
                <w:div w:id="1528254961">
                  <w:marLeft w:val="0"/>
                  <w:marRight w:val="0"/>
                  <w:marTop w:val="0"/>
                  <w:marBottom w:val="0"/>
                  <w:divBdr>
                    <w:top w:val="none" w:sz="0" w:space="0" w:color="auto"/>
                    <w:left w:val="none" w:sz="0" w:space="0" w:color="auto"/>
                    <w:bottom w:val="none" w:sz="0" w:space="0" w:color="auto"/>
                    <w:right w:val="none" w:sz="0" w:space="0" w:color="auto"/>
                  </w:divBdr>
                  <w:divsChild>
                    <w:div w:id="1485701900">
                      <w:marLeft w:val="0"/>
                      <w:marRight w:val="0"/>
                      <w:marTop w:val="0"/>
                      <w:marBottom w:val="0"/>
                      <w:divBdr>
                        <w:top w:val="none" w:sz="0" w:space="0" w:color="auto"/>
                        <w:left w:val="none" w:sz="0" w:space="0" w:color="auto"/>
                        <w:bottom w:val="none" w:sz="0" w:space="0" w:color="auto"/>
                        <w:right w:val="none" w:sz="0" w:space="0" w:color="auto"/>
                      </w:divBdr>
                    </w:div>
                    <w:div w:id="1789884610">
                      <w:marLeft w:val="0"/>
                      <w:marRight w:val="0"/>
                      <w:marTop w:val="0"/>
                      <w:marBottom w:val="225"/>
                      <w:divBdr>
                        <w:top w:val="none" w:sz="0" w:space="0" w:color="auto"/>
                        <w:left w:val="none" w:sz="0" w:space="0" w:color="auto"/>
                        <w:bottom w:val="none" w:sz="0" w:space="0" w:color="auto"/>
                        <w:right w:val="none" w:sz="0" w:space="0" w:color="auto"/>
                      </w:divBdr>
                      <w:divsChild>
                        <w:div w:id="220949834">
                          <w:marLeft w:val="0"/>
                          <w:marRight w:val="0"/>
                          <w:marTop w:val="0"/>
                          <w:marBottom w:val="0"/>
                          <w:divBdr>
                            <w:top w:val="none" w:sz="0" w:space="0" w:color="auto"/>
                            <w:left w:val="none" w:sz="0" w:space="0" w:color="auto"/>
                            <w:bottom w:val="none" w:sz="0" w:space="0" w:color="auto"/>
                            <w:right w:val="none" w:sz="0" w:space="0" w:color="auto"/>
                          </w:divBdr>
                          <w:divsChild>
                            <w:div w:id="194310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inansdanmark.dk/gode-raad/investering-om-at-investere/investeringsfonde/investorbeskyttel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3259</Characters>
  <Application>Microsoft Office Word</Application>
  <DocSecurity>0</DocSecurity>
  <Lines>27</Lines>
  <Paragraphs>7</Paragraphs>
  <ScaleCrop>false</ScaleCrop>
  <Company>Finans Danmark</Company>
  <LinksUpToDate>false</LinksUpToDate>
  <CharactersWithSpaces>3786</CharactersWithSpaces>
  <SharedDoc>false</SharedDoc>
  <HLinks>
    <vt:vector size="6" baseType="variant">
      <vt:variant>
        <vt:i4>5963843</vt:i4>
      </vt:variant>
      <vt:variant>
        <vt:i4>0</vt:i4>
      </vt:variant>
      <vt:variant>
        <vt:i4>0</vt:i4>
      </vt:variant>
      <vt:variant>
        <vt:i4>5</vt:i4>
      </vt:variant>
      <vt:variant>
        <vt:lpwstr>https://finansdanmark.dk/gode-raad/investering-om-at-investere/investeringsfonde/investorbeskyttelse/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Ophelia Møss</dc:creator>
  <cp:keywords/>
  <dc:description/>
  <cp:lastModifiedBy>Theis Scheuer Jansen</cp:lastModifiedBy>
  <cp:revision>2</cp:revision>
  <dcterms:created xsi:type="dcterms:W3CDTF">2025-04-04T13:41:00Z</dcterms:created>
  <dcterms:modified xsi:type="dcterms:W3CDTF">2025-04-04T13:41:00Z</dcterms:modified>
</cp:coreProperties>
</file>